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CB" w:rsidRPr="00D92F42" w:rsidRDefault="00B313CB" w:rsidP="00B313CB">
      <w:pPr>
        <w:jc w:val="center"/>
      </w:pPr>
      <w:r w:rsidRPr="00B57D62">
        <w:t>МИНИСТЕРСТВО ЗДРАВООХРАНЕНИЯ РОСС</w:t>
      </w:r>
      <w:r w:rsidRPr="00D92F42">
        <w:t>ИЙСКОЙ ФЕДЕРАЦИИ</w:t>
      </w:r>
    </w:p>
    <w:p w:rsidR="00B313CB" w:rsidRDefault="00B313CB" w:rsidP="00B313CB">
      <w:pPr>
        <w:jc w:val="center"/>
      </w:pPr>
    </w:p>
    <w:p w:rsidR="00B313CB" w:rsidRPr="00D92F42" w:rsidRDefault="00B313CB" w:rsidP="00B313CB">
      <w:pPr>
        <w:jc w:val="center"/>
      </w:pPr>
    </w:p>
    <w:p w:rsidR="00B313CB" w:rsidRPr="0032190F" w:rsidRDefault="00B313CB" w:rsidP="00B313CB">
      <w:pPr>
        <w:jc w:val="center"/>
      </w:pPr>
      <w:r w:rsidRPr="0032190F">
        <w:t>ИНСТРУКЦИЯ</w:t>
      </w:r>
    </w:p>
    <w:p w:rsidR="00B313CB" w:rsidRPr="00D92F42" w:rsidRDefault="0032190F" w:rsidP="00B313CB">
      <w:pPr>
        <w:jc w:val="center"/>
      </w:pPr>
      <w:r w:rsidRPr="00C65E8F">
        <w:t>ПО МЕДИЦИНСКОМУ ПРИМЕНЕНИЮ ЛЕКАРСТВЕННОГО ПРЕПАРАТА</w:t>
      </w:r>
    </w:p>
    <w:p w:rsidR="00B313CB" w:rsidRPr="00D92F42" w:rsidRDefault="00B313CB" w:rsidP="00B313CB">
      <w:pPr>
        <w:jc w:val="center"/>
      </w:pPr>
    </w:p>
    <w:p w:rsidR="007A0E71" w:rsidRPr="007A0E71" w:rsidRDefault="007A0E71" w:rsidP="007A0E71">
      <w:pPr>
        <w:jc w:val="center"/>
        <w:rPr>
          <w:sz w:val="28"/>
          <w:szCs w:val="28"/>
        </w:rPr>
      </w:pPr>
      <w:proofErr w:type="spellStart"/>
      <w:r w:rsidRPr="00582B52">
        <w:rPr>
          <w:sz w:val="28"/>
          <w:szCs w:val="28"/>
        </w:rPr>
        <w:t>Тамсулозин</w:t>
      </w:r>
      <w:proofErr w:type="spellEnd"/>
      <w:r w:rsidRPr="00582B52">
        <w:rPr>
          <w:sz w:val="28"/>
          <w:szCs w:val="28"/>
        </w:rPr>
        <w:t xml:space="preserve"> – ВЕРТЕКС </w:t>
      </w:r>
    </w:p>
    <w:p w:rsidR="007A0E71" w:rsidRPr="007A0E71" w:rsidRDefault="007A0E71" w:rsidP="007A0E71">
      <w:pPr>
        <w:jc w:val="center"/>
        <w:rPr>
          <w:sz w:val="28"/>
          <w:szCs w:val="28"/>
        </w:rPr>
      </w:pPr>
      <w:r w:rsidRPr="007A0E71">
        <w:rPr>
          <w:bCs/>
          <w:sz w:val="28"/>
          <w:szCs w:val="28"/>
        </w:rPr>
        <w:t>таблетки с пролонгированным высвобождением, покрытые пленочной оболочкой, 0,4 мг</w:t>
      </w:r>
    </w:p>
    <w:p w:rsidR="007A0E71" w:rsidRPr="007A0E71" w:rsidRDefault="007A0E71" w:rsidP="00B313CB">
      <w:pPr>
        <w:pStyle w:val="11"/>
        <w:rPr>
          <w:b/>
          <w:color w:val="auto"/>
        </w:rPr>
      </w:pPr>
    </w:p>
    <w:p w:rsidR="00B313CB" w:rsidRPr="007A0E71" w:rsidRDefault="00B313CB" w:rsidP="00B313CB">
      <w:pPr>
        <w:pStyle w:val="11"/>
        <w:rPr>
          <w:b/>
          <w:color w:val="auto"/>
        </w:rPr>
      </w:pPr>
      <w:r w:rsidRPr="00D92F42">
        <w:rPr>
          <w:b/>
          <w:color w:val="auto"/>
        </w:rPr>
        <w:t>Регистрационный номер:</w:t>
      </w:r>
      <w:r w:rsidR="00A84B82" w:rsidRPr="00A84B82">
        <w:rPr>
          <w:color w:val="auto"/>
        </w:rPr>
        <w:t xml:space="preserve"> </w:t>
      </w:r>
      <w:r w:rsidR="00A84B82" w:rsidRPr="001B66A1">
        <w:rPr>
          <w:color w:val="auto"/>
        </w:rPr>
        <w:t>ЛП-005271</w:t>
      </w:r>
    </w:p>
    <w:p w:rsidR="007A0E71" w:rsidRPr="00D92F42" w:rsidRDefault="007A0E71" w:rsidP="007A0E71">
      <w:pPr>
        <w:spacing w:before="120"/>
      </w:pPr>
      <w:r>
        <w:rPr>
          <w:b/>
        </w:rPr>
        <w:t>Торговое наименование:</w:t>
      </w:r>
      <w:r w:rsidRPr="007A0E71">
        <w:rPr>
          <w:b/>
        </w:rPr>
        <w:t xml:space="preserve"> </w:t>
      </w:r>
      <w:proofErr w:type="spellStart"/>
      <w:r w:rsidRPr="00582B52">
        <w:t>Тамсулозин</w:t>
      </w:r>
      <w:proofErr w:type="spellEnd"/>
      <w:r w:rsidRPr="00582B52">
        <w:t xml:space="preserve"> – ВЕРТЕКС </w:t>
      </w:r>
    </w:p>
    <w:p w:rsidR="007A0E71" w:rsidRPr="00D92F42" w:rsidRDefault="007A0E71" w:rsidP="007A0E71">
      <w:pPr>
        <w:spacing w:before="120" w:after="120"/>
        <w:jc w:val="both"/>
      </w:pPr>
      <w:r>
        <w:rPr>
          <w:b/>
        </w:rPr>
        <w:t xml:space="preserve">Международное непатентованное или </w:t>
      </w:r>
      <w:proofErr w:type="spellStart"/>
      <w:r>
        <w:rPr>
          <w:b/>
        </w:rPr>
        <w:t>группировочное</w:t>
      </w:r>
      <w:proofErr w:type="spellEnd"/>
      <w:r>
        <w:rPr>
          <w:b/>
        </w:rPr>
        <w:t xml:space="preserve"> наименование</w:t>
      </w:r>
      <w:r w:rsidRPr="00D92F42">
        <w:rPr>
          <w:b/>
        </w:rPr>
        <w:t>:</w:t>
      </w:r>
      <w:r>
        <w:t xml:space="preserve"> </w:t>
      </w:r>
      <w:proofErr w:type="spellStart"/>
      <w:r w:rsidRPr="00D92F42">
        <w:t>тамсулозин</w:t>
      </w:r>
      <w:proofErr w:type="spellEnd"/>
    </w:p>
    <w:p w:rsidR="007A0E71" w:rsidRPr="00D92F42" w:rsidRDefault="007A0E71" w:rsidP="007A0E71">
      <w:pPr>
        <w:jc w:val="both"/>
        <w:rPr>
          <w:bCs/>
        </w:rPr>
      </w:pPr>
      <w:r w:rsidRPr="00D92F42">
        <w:rPr>
          <w:b/>
        </w:rPr>
        <w:t>Лекарственная форма</w:t>
      </w:r>
      <w:r w:rsidRPr="00D92F42">
        <w:t xml:space="preserve">: таблетки с </w:t>
      </w:r>
      <w:r>
        <w:t>пролонгированным</w:t>
      </w:r>
      <w:r w:rsidRPr="00D92F42">
        <w:t xml:space="preserve"> высвобождение</w:t>
      </w:r>
      <w:r>
        <w:t>м, покрытые пленочной оболочкой</w:t>
      </w:r>
    </w:p>
    <w:p w:rsidR="007A0E71" w:rsidRPr="007A0E71" w:rsidRDefault="007A0E71" w:rsidP="00B313CB">
      <w:pPr>
        <w:pStyle w:val="11"/>
        <w:rPr>
          <w:b/>
          <w:color w:val="auto"/>
        </w:rPr>
      </w:pPr>
    </w:p>
    <w:p w:rsidR="00B313CB" w:rsidRPr="00D92F42" w:rsidRDefault="00B313CB" w:rsidP="00B313CB">
      <w:pPr>
        <w:jc w:val="both"/>
        <w:rPr>
          <w:highlight w:val="yellow"/>
        </w:rPr>
      </w:pPr>
    </w:p>
    <w:p w:rsidR="00B313CB" w:rsidRDefault="00B313CB" w:rsidP="00B313CB">
      <w:pPr>
        <w:jc w:val="both"/>
        <w:rPr>
          <w:b/>
        </w:rPr>
      </w:pPr>
      <w:r w:rsidRPr="00D92F42">
        <w:rPr>
          <w:b/>
        </w:rPr>
        <w:t>Состав</w:t>
      </w:r>
    </w:p>
    <w:p w:rsidR="00B313CB" w:rsidRPr="00CC409D" w:rsidRDefault="00B313CB" w:rsidP="00B313CB">
      <w:pPr>
        <w:jc w:val="both"/>
      </w:pPr>
      <w:r w:rsidRPr="00CC409D">
        <w:t>Одна таблетка с пролонгированным высвобождением, покрытая пленочной оболочкой, содержит:</w:t>
      </w:r>
    </w:p>
    <w:p w:rsidR="00B313CB" w:rsidRPr="00CC409D" w:rsidRDefault="00B313CB" w:rsidP="00B313CB">
      <w:pPr>
        <w:jc w:val="both"/>
      </w:pPr>
    </w:p>
    <w:p w:rsidR="00B313CB" w:rsidRPr="00CC409D" w:rsidRDefault="00B313CB" w:rsidP="00B313CB">
      <w:pPr>
        <w:pStyle w:val="11"/>
        <w:jc w:val="both"/>
        <w:rPr>
          <w:bCs/>
          <w:color w:val="auto"/>
        </w:rPr>
      </w:pPr>
      <w:r w:rsidRPr="00CC409D">
        <w:rPr>
          <w:bCs/>
          <w:i/>
          <w:color w:val="auto"/>
        </w:rPr>
        <w:t xml:space="preserve">действующее вещество: </w:t>
      </w:r>
      <w:proofErr w:type="spellStart"/>
      <w:r w:rsidRPr="00CC409D">
        <w:rPr>
          <w:color w:val="auto"/>
        </w:rPr>
        <w:t>тамсулозина</w:t>
      </w:r>
      <w:proofErr w:type="spellEnd"/>
      <w:r w:rsidRPr="00CC409D">
        <w:rPr>
          <w:color w:val="auto"/>
        </w:rPr>
        <w:t xml:space="preserve"> гидрохлорид – 0,4 мг;</w:t>
      </w:r>
    </w:p>
    <w:p w:rsidR="00B313CB" w:rsidRPr="00CC409D" w:rsidRDefault="00B313CB" w:rsidP="00B313CB">
      <w:pPr>
        <w:pStyle w:val="11"/>
        <w:jc w:val="both"/>
        <w:rPr>
          <w:color w:val="auto"/>
        </w:rPr>
      </w:pPr>
      <w:r w:rsidRPr="00CC409D">
        <w:rPr>
          <w:bCs/>
          <w:i/>
          <w:color w:val="auto"/>
        </w:rPr>
        <w:t>вспомогательные вещества:</w:t>
      </w:r>
      <w:r w:rsidRPr="00CC409D">
        <w:rPr>
          <w:bCs/>
          <w:color w:val="auto"/>
        </w:rPr>
        <w:t xml:space="preserve"> целлюлоза микрокристаллическая, </w:t>
      </w:r>
      <w:proofErr w:type="spellStart"/>
      <w:r w:rsidRPr="00CC409D">
        <w:rPr>
          <w:bCs/>
          <w:color w:val="auto"/>
        </w:rPr>
        <w:t>гипромеллоза</w:t>
      </w:r>
      <w:proofErr w:type="spellEnd"/>
      <w:r w:rsidRPr="00CC409D">
        <w:rPr>
          <w:bCs/>
          <w:color w:val="auto"/>
        </w:rPr>
        <w:t xml:space="preserve"> 2208, кремния диоксид коллоидный гидрофобный, магния </w:t>
      </w:r>
      <w:proofErr w:type="spellStart"/>
      <w:r w:rsidRPr="00CC409D">
        <w:rPr>
          <w:bCs/>
          <w:color w:val="auto"/>
        </w:rPr>
        <w:t>стеарат</w:t>
      </w:r>
      <w:proofErr w:type="spellEnd"/>
      <w:r w:rsidRPr="00CC409D">
        <w:rPr>
          <w:bCs/>
          <w:color w:val="auto"/>
        </w:rPr>
        <w:t>;</w:t>
      </w:r>
    </w:p>
    <w:p w:rsidR="00B313CB" w:rsidRPr="00CC409D" w:rsidRDefault="00B313CB" w:rsidP="00B313CB">
      <w:pPr>
        <w:pStyle w:val="11"/>
        <w:jc w:val="both"/>
        <w:rPr>
          <w:color w:val="auto"/>
        </w:rPr>
      </w:pPr>
      <w:r w:rsidRPr="00CC409D">
        <w:rPr>
          <w:i/>
          <w:color w:val="auto"/>
        </w:rPr>
        <w:t>пленочная оболочка</w:t>
      </w:r>
      <w:r w:rsidRPr="00CC409D">
        <w:rPr>
          <w:color w:val="auto"/>
        </w:rPr>
        <w:t>: [</w:t>
      </w:r>
      <w:proofErr w:type="spellStart"/>
      <w:r w:rsidRPr="00CC409D">
        <w:rPr>
          <w:color w:val="auto"/>
        </w:rPr>
        <w:t>гипромеллоза</w:t>
      </w:r>
      <w:proofErr w:type="spellEnd"/>
      <w:r w:rsidRPr="00CC409D">
        <w:rPr>
          <w:color w:val="auto"/>
        </w:rPr>
        <w:t xml:space="preserve"> 2910, тальк, титана диоксид, </w:t>
      </w:r>
      <w:proofErr w:type="spellStart"/>
      <w:r w:rsidRPr="00CC409D">
        <w:rPr>
          <w:color w:val="auto"/>
        </w:rPr>
        <w:t>макрогол</w:t>
      </w:r>
      <w:proofErr w:type="spellEnd"/>
      <w:r w:rsidRPr="00CC409D">
        <w:rPr>
          <w:color w:val="auto"/>
        </w:rPr>
        <w:t xml:space="preserve"> 4000 (</w:t>
      </w:r>
      <w:proofErr w:type="spellStart"/>
      <w:r w:rsidRPr="00CC409D">
        <w:rPr>
          <w:color w:val="auto"/>
        </w:rPr>
        <w:t>полиэтиленгликоль</w:t>
      </w:r>
      <w:proofErr w:type="spellEnd"/>
      <w:r w:rsidRPr="00CC409D">
        <w:rPr>
          <w:color w:val="auto"/>
        </w:rPr>
        <w:t xml:space="preserve"> 4000), краситель железа оксид желтый] или [сухая смесь для пленочного покрытия, содержащая </w:t>
      </w:r>
      <w:proofErr w:type="spellStart"/>
      <w:r w:rsidRPr="00CC409D">
        <w:rPr>
          <w:color w:val="auto"/>
        </w:rPr>
        <w:t>гипромеллозу</w:t>
      </w:r>
      <w:proofErr w:type="spellEnd"/>
      <w:r w:rsidRPr="00CC409D">
        <w:rPr>
          <w:color w:val="auto"/>
        </w:rPr>
        <w:t xml:space="preserve"> 2910, тальк, титана диоксид, </w:t>
      </w:r>
      <w:proofErr w:type="spellStart"/>
      <w:r w:rsidRPr="00CC409D">
        <w:rPr>
          <w:color w:val="auto"/>
        </w:rPr>
        <w:t>макрогол</w:t>
      </w:r>
      <w:proofErr w:type="spellEnd"/>
      <w:r w:rsidRPr="00CC409D">
        <w:rPr>
          <w:color w:val="auto"/>
        </w:rPr>
        <w:t xml:space="preserve"> 4000 (</w:t>
      </w:r>
      <w:proofErr w:type="spellStart"/>
      <w:r w:rsidRPr="00CC409D">
        <w:rPr>
          <w:color w:val="auto"/>
        </w:rPr>
        <w:t>полиэтиленгликоль</w:t>
      </w:r>
      <w:proofErr w:type="spellEnd"/>
      <w:r w:rsidRPr="00CC409D">
        <w:rPr>
          <w:color w:val="auto"/>
        </w:rPr>
        <w:t xml:space="preserve"> 4000), краситель железа оксид желтый].</w:t>
      </w:r>
    </w:p>
    <w:p w:rsidR="00B313CB" w:rsidRPr="00CC409D" w:rsidRDefault="00B313CB" w:rsidP="00B313CB">
      <w:pPr>
        <w:pStyle w:val="11"/>
        <w:jc w:val="both"/>
        <w:rPr>
          <w:color w:val="auto"/>
        </w:rPr>
      </w:pPr>
    </w:p>
    <w:p w:rsidR="00B313CB" w:rsidRPr="00CC409D" w:rsidRDefault="00B313CB" w:rsidP="00B313CB">
      <w:pPr>
        <w:pStyle w:val="11"/>
        <w:jc w:val="both"/>
        <w:rPr>
          <w:b/>
          <w:color w:val="auto"/>
        </w:rPr>
      </w:pPr>
      <w:r w:rsidRPr="00CC409D">
        <w:rPr>
          <w:b/>
          <w:color w:val="auto"/>
        </w:rPr>
        <w:t>Описание</w:t>
      </w:r>
    </w:p>
    <w:p w:rsidR="00B313CB" w:rsidRPr="00CC409D" w:rsidRDefault="00B313CB" w:rsidP="00B313CB">
      <w:pPr>
        <w:jc w:val="both"/>
      </w:pPr>
      <w:r w:rsidRPr="00CC409D">
        <w:t>Круглые двояковыпуклые таблетки, покрытые пленочной оболочкой желтого цвета. На поперечном разрезе ядро белого или почти белого цвета.</w:t>
      </w:r>
    </w:p>
    <w:p w:rsidR="00B313CB" w:rsidRPr="00CC409D" w:rsidRDefault="00B313CB" w:rsidP="00B313CB">
      <w:pPr>
        <w:jc w:val="both"/>
      </w:pPr>
    </w:p>
    <w:p w:rsidR="00B313CB" w:rsidRPr="00CC409D" w:rsidRDefault="00B313CB" w:rsidP="00B313CB">
      <w:pPr>
        <w:jc w:val="both"/>
        <w:rPr>
          <w:b/>
        </w:rPr>
      </w:pPr>
      <w:r w:rsidRPr="00CC409D">
        <w:rPr>
          <w:b/>
        </w:rPr>
        <w:t>Фармакотерапевтическая группа</w:t>
      </w:r>
    </w:p>
    <w:p w:rsidR="00B313CB" w:rsidRPr="00D92F42" w:rsidRDefault="002663AC" w:rsidP="00B313CB">
      <w:pPr>
        <w:jc w:val="both"/>
      </w:pPr>
      <w:r>
        <w:t>альфа</w:t>
      </w:r>
      <w:r w:rsidR="00B313CB" w:rsidRPr="00AB18F0">
        <w:t>1</w:t>
      </w:r>
      <w:r w:rsidR="00B313CB" w:rsidRPr="00CC409D">
        <w:t>-адреноблокатор.</w:t>
      </w:r>
    </w:p>
    <w:p w:rsidR="00B313CB" w:rsidRPr="00D92F42" w:rsidRDefault="00B313CB" w:rsidP="00B313CB">
      <w:pPr>
        <w:jc w:val="both"/>
      </w:pPr>
    </w:p>
    <w:p w:rsidR="00B313CB" w:rsidRPr="00D92F42" w:rsidRDefault="00B313CB" w:rsidP="00B313CB">
      <w:pPr>
        <w:jc w:val="both"/>
        <w:rPr>
          <w:b/>
        </w:rPr>
      </w:pPr>
      <w:r w:rsidRPr="00D92F42">
        <w:rPr>
          <w:b/>
        </w:rPr>
        <w:t>Код АТХ</w:t>
      </w:r>
    </w:p>
    <w:p w:rsidR="00B313CB" w:rsidRPr="00D92F42" w:rsidRDefault="00B313CB" w:rsidP="00B313CB">
      <w:pPr>
        <w:jc w:val="both"/>
      </w:pPr>
      <w:r w:rsidRPr="00D92F42">
        <w:rPr>
          <w:lang w:val="en-US"/>
        </w:rPr>
        <w:t>G</w:t>
      </w:r>
      <w:r w:rsidRPr="00D92F42">
        <w:t>04</w:t>
      </w:r>
      <w:r w:rsidRPr="00D92F42">
        <w:rPr>
          <w:lang w:val="en-US"/>
        </w:rPr>
        <w:t>CA</w:t>
      </w:r>
      <w:r w:rsidRPr="00D92F42">
        <w:t>02</w:t>
      </w:r>
    </w:p>
    <w:p w:rsidR="00B313CB" w:rsidRPr="00D92F42" w:rsidRDefault="00B313CB" w:rsidP="00B313CB">
      <w:pPr>
        <w:ind w:firstLine="720"/>
        <w:jc w:val="both"/>
      </w:pPr>
    </w:p>
    <w:p w:rsidR="00B313CB" w:rsidRPr="00D92F42" w:rsidRDefault="00B313CB" w:rsidP="00B313CB">
      <w:pPr>
        <w:pStyle w:val="3"/>
        <w:spacing w:before="0" w:after="0"/>
        <w:jc w:val="both"/>
        <w:rPr>
          <w:rFonts w:ascii="Times New Roman" w:hAnsi="Times New Roman" w:cs="Times New Roman"/>
          <w:sz w:val="24"/>
          <w:szCs w:val="24"/>
        </w:rPr>
      </w:pPr>
      <w:r w:rsidRPr="00D92F42">
        <w:rPr>
          <w:rFonts w:ascii="Times New Roman" w:hAnsi="Times New Roman" w:cs="Times New Roman"/>
          <w:sz w:val="24"/>
          <w:szCs w:val="24"/>
        </w:rPr>
        <w:t>Фармакологические свойства</w:t>
      </w:r>
    </w:p>
    <w:p w:rsidR="00B313CB" w:rsidRPr="00D92F42" w:rsidRDefault="00B313CB" w:rsidP="00B313CB">
      <w:pPr>
        <w:rPr>
          <w:b/>
          <w:i/>
        </w:rPr>
      </w:pPr>
      <w:proofErr w:type="spellStart"/>
      <w:r w:rsidRPr="00D92F42">
        <w:rPr>
          <w:b/>
          <w:i/>
        </w:rPr>
        <w:t>Фармакодинамика</w:t>
      </w:r>
      <w:proofErr w:type="spellEnd"/>
    </w:p>
    <w:p w:rsidR="00B313CB" w:rsidRDefault="00B313CB" w:rsidP="00B313CB">
      <w:pPr>
        <w:jc w:val="both"/>
      </w:pPr>
      <w:proofErr w:type="spellStart"/>
      <w:r w:rsidRPr="00D92F42">
        <w:t>Тамсулозин</w:t>
      </w:r>
      <w:proofErr w:type="spellEnd"/>
      <w:r w:rsidRPr="00D92F42">
        <w:t xml:space="preserve"> является специфическим </w:t>
      </w:r>
      <w:r>
        <w:t xml:space="preserve">конкурентным </w:t>
      </w:r>
      <w:r w:rsidRPr="00D92F42">
        <w:t xml:space="preserve">блокатором постсинаптических </w:t>
      </w:r>
      <w:r w:rsidRPr="00D92F42">
        <w:br/>
        <w:t>α</w:t>
      </w:r>
      <w:r w:rsidRPr="00D92F42">
        <w:rPr>
          <w:vertAlign w:val="subscript"/>
        </w:rPr>
        <w:t>1</w:t>
      </w:r>
      <w:r w:rsidRPr="00D92F42">
        <w:t xml:space="preserve">-адренорецепторов, </w:t>
      </w:r>
      <w:r>
        <w:t xml:space="preserve">особенно </w:t>
      </w:r>
      <w:r w:rsidRPr="00D92F42">
        <w:t>α</w:t>
      </w:r>
      <w:r w:rsidRPr="00D92F42">
        <w:rPr>
          <w:vertAlign w:val="subscript"/>
        </w:rPr>
        <w:t>1</w:t>
      </w:r>
      <w:r>
        <w:rPr>
          <w:vertAlign w:val="subscript"/>
          <w:lang w:val="en-US"/>
        </w:rPr>
        <w:t>A</w:t>
      </w:r>
      <w:r>
        <w:rPr>
          <w:vertAlign w:val="subscript"/>
        </w:rPr>
        <w:t xml:space="preserve"> </w:t>
      </w:r>
      <w:r>
        <w:t xml:space="preserve">и </w:t>
      </w:r>
      <w:r w:rsidRPr="00D92F42">
        <w:t>α</w:t>
      </w:r>
      <w:r w:rsidRPr="00D92F42">
        <w:rPr>
          <w:vertAlign w:val="subscript"/>
        </w:rPr>
        <w:t>1</w:t>
      </w:r>
      <w:r>
        <w:rPr>
          <w:vertAlign w:val="subscript"/>
          <w:lang w:val="en-US"/>
        </w:rPr>
        <w:t>D</w:t>
      </w:r>
      <w:r>
        <w:rPr>
          <w:vertAlign w:val="subscript"/>
        </w:rPr>
        <w:t xml:space="preserve"> </w:t>
      </w:r>
      <w:r>
        <w:t>подтипов, отвечающих за расслабление</w:t>
      </w:r>
      <w:r w:rsidRPr="00D92F42">
        <w:t xml:space="preserve"> гладкой мускулатур</w:t>
      </w:r>
      <w:r>
        <w:t>ы</w:t>
      </w:r>
      <w:r w:rsidRPr="00D92F42">
        <w:t xml:space="preserve"> предстательной железы, шейки мочевого пузыря и простатической части уретры. </w:t>
      </w:r>
      <w:proofErr w:type="spellStart"/>
      <w:r>
        <w:t>Тамсулозин</w:t>
      </w:r>
      <w:proofErr w:type="spellEnd"/>
      <w:r>
        <w:t xml:space="preserve"> в дозировке 0,4 мг увеличивает максимальную скорость мочеиспускания, а также снижает тонус гладкой мускулатуры предстательной железы и уретры, улучшая отток мочи и, таким образом, уменьшает выраженность симптомов опорожнения. </w:t>
      </w:r>
      <w:proofErr w:type="spellStart"/>
      <w:r>
        <w:t>Тамсулозин</w:t>
      </w:r>
      <w:proofErr w:type="spellEnd"/>
      <w:r>
        <w:t xml:space="preserve"> также уменьшает выраженность симптомов наполнения мочевого пузыря, в развитии которых важную роль играет </w:t>
      </w:r>
      <w:proofErr w:type="spellStart"/>
      <w:r>
        <w:t>гиперактивность</w:t>
      </w:r>
      <w:proofErr w:type="spellEnd"/>
      <w:r>
        <w:t xml:space="preserve"> </w:t>
      </w:r>
      <w:proofErr w:type="spellStart"/>
      <w:r>
        <w:t>детрузора</w:t>
      </w:r>
      <w:proofErr w:type="spellEnd"/>
      <w:r>
        <w:t xml:space="preserve">. </w:t>
      </w:r>
    </w:p>
    <w:p w:rsidR="00B313CB" w:rsidRDefault="00B313CB" w:rsidP="00B313CB">
      <w:pPr>
        <w:jc w:val="both"/>
      </w:pPr>
      <w:r>
        <w:lastRenderedPageBreak/>
        <w:t>При длительной терапии сохраняется воздействие на выраженность симптомов наполнения и опорожнения, уменьшая риск развития острой задержки мочи и необходимость оперативного вмешательства</w:t>
      </w:r>
      <w:r w:rsidR="006708D8">
        <w:t>.</w:t>
      </w:r>
    </w:p>
    <w:p w:rsidR="00B313CB" w:rsidRDefault="00B313CB" w:rsidP="00B313CB">
      <w:pPr>
        <w:jc w:val="both"/>
      </w:pPr>
      <w:r>
        <w:t xml:space="preserve">Блокаторы </w:t>
      </w:r>
      <w:r w:rsidRPr="00D92F42">
        <w:t>α</w:t>
      </w:r>
      <w:r w:rsidRPr="00D92F42">
        <w:rPr>
          <w:vertAlign w:val="subscript"/>
        </w:rPr>
        <w:t>1A</w:t>
      </w:r>
      <w:r w:rsidRPr="00C41491">
        <w:t>-</w:t>
      </w:r>
      <w:r w:rsidRPr="00D92F42">
        <w:t xml:space="preserve">адренорецепторов </w:t>
      </w:r>
      <w:r>
        <w:t>могут снижать</w:t>
      </w:r>
      <w:r w:rsidRPr="00D92F42">
        <w:t xml:space="preserve"> артериально</w:t>
      </w:r>
      <w:r>
        <w:t>е</w:t>
      </w:r>
      <w:r w:rsidRPr="00D92F42">
        <w:t xml:space="preserve"> давлени</w:t>
      </w:r>
      <w:r>
        <w:t>е</w:t>
      </w:r>
      <w:r w:rsidR="001715B5">
        <w:t xml:space="preserve"> (АД)</w:t>
      </w:r>
      <w:r w:rsidRPr="00D92F42">
        <w:t xml:space="preserve"> </w:t>
      </w:r>
      <w:r>
        <w:t xml:space="preserve">за счет уменьшения периферического сопротивления. При применении </w:t>
      </w:r>
      <w:proofErr w:type="spellStart"/>
      <w:r>
        <w:t>тамсулозина</w:t>
      </w:r>
      <w:proofErr w:type="spellEnd"/>
      <w:r>
        <w:t xml:space="preserve"> в суточной дозе 0,4</w:t>
      </w:r>
      <w:r w:rsidR="001B3D48">
        <w:t> </w:t>
      </w:r>
      <w:r>
        <w:t>мг случаев клинически значимого снижения АД не отмечалось.</w:t>
      </w:r>
    </w:p>
    <w:p w:rsidR="00B313CB" w:rsidRPr="00D92F42" w:rsidRDefault="00B313CB" w:rsidP="00B313CB">
      <w:pPr>
        <w:pStyle w:val="3"/>
        <w:spacing w:before="0" w:after="0"/>
        <w:jc w:val="both"/>
        <w:rPr>
          <w:rFonts w:ascii="Times New Roman" w:hAnsi="Times New Roman" w:cs="Times New Roman"/>
          <w:i/>
          <w:sz w:val="24"/>
          <w:szCs w:val="24"/>
        </w:rPr>
      </w:pPr>
      <w:r w:rsidRPr="00D92F42">
        <w:rPr>
          <w:rFonts w:ascii="Times New Roman" w:hAnsi="Times New Roman" w:cs="Times New Roman"/>
          <w:i/>
          <w:sz w:val="24"/>
          <w:szCs w:val="24"/>
        </w:rPr>
        <w:t>Фармакокинетика</w:t>
      </w:r>
    </w:p>
    <w:p w:rsidR="00B313CB" w:rsidRPr="00D92F42" w:rsidRDefault="00B313CB" w:rsidP="00B313CB">
      <w:pPr>
        <w:jc w:val="both"/>
        <w:rPr>
          <w:i/>
          <w:iCs/>
        </w:rPr>
      </w:pPr>
      <w:r w:rsidRPr="00D92F42">
        <w:rPr>
          <w:i/>
          <w:iCs/>
        </w:rPr>
        <w:t>Всасывание</w:t>
      </w:r>
    </w:p>
    <w:p w:rsidR="00B313CB" w:rsidRPr="00D92F42" w:rsidRDefault="00B313CB" w:rsidP="00B313CB">
      <w:pPr>
        <w:jc w:val="both"/>
      </w:pPr>
      <w:r w:rsidRPr="00D92F42">
        <w:t xml:space="preserve">Данная лекарственная форма обеспечивает длительное и медленное высвобождение </w:t>
      </w:r>
      <w:proofErr w:type="spellStart"/>
      <w:r w:rsidRPr="00D92F42">
        <w:t>тамсулозина</w:t>
      </w:r>
      <w:proofErr w:type="spellEnd"/>
      <w:r w:rsidRPr="00D92F42">
        <w:t xml:space="preserve"> </w:t>
      </w:r>
      <w:r>
        <w:t xml:space="preserve">и достаточную экспозицию со слабыми колебаниями концентрации </w:t>
      </w:r>
      <w:proofErr w:type="spellStart"/>
      <w:r>
        <w:t>тамсулозина</w:t>
      </w:r>
      <w:proofErr w:type="spellEnd"/>
      <w:r>
        <w:t xml:space="preserve"> в плазме крови в течение 24 часов.</w:t>
      </w:r>
    </w:p>
    <w:p w:rsidR="00B313CB" w:rsidRPr="00D92F42" w:rsidRDefault="00B313CB" w:rsidP="00B313CB">
      <w:pPr>
        <w:jc w:val="both"/>
      </w:pPr>
      <w:proofErr w:type="spellStart"/>
      <w:r w:rsidRPr="00D92F42">
        <w:t>Тамсулозин</w:t>
      </w:r>
      <w:proofErr w:type="spellEnd"/>
      <w:r w:rsidRPr="00D92F42">
        <w:t xml:space="preserve"> всасывается в кишечнике</w:t>
      </w:r>
      <w:r>
        <w:t xml:space="preserve">. Абсорбция оценивается в 57 % от введенной дозы. </w:t>
      </w:r>
      <w:r w:rsidRPr="00D92F42">
        <w:t xml:space="preserve">Прием пищи не оказывает влияния на всасываемость </w:t>
      </w:r>
      <w:proofErr w:type="spellStart"/>
      <w:r w:rsidR="002D0A20">
        <w:t>тамсулозина</w:t>
      </w:r>
      <w:proofErr w:type="spellEnd"/>
      <w:r w:rsidRPr="00D92F42">
        <w:t>.</w:t>
      </w:r>
      <w:r>
        <w:t xml:space="preserve"> </w:t>
      </w:r>
      <w:proofErr w:type="spellStart"/>
      <w:r w:rsidRPr="00D92F42">
        <w:t>Тамсулозин</w:t>
      </w:r>
      <w:proofErr w:type="spellEnd"/>
      <w:r w:rsidRPr="00D92F42">
        <w:t xml:space="preserve"> характеризуется линейной </w:t>
      </w:r>
      <w:proofErr w:type="spellStart"/>
      <w:r>
        <w:t>фармако</w:t>
      </w:r>
      <w:r w:rsidRPr="00D92F42">
        <w:t>кинетикой</w:t>
      </w:r>
      <w:proofErr w:type="spellEnd"/>
      <w:r w:rsidRPr="00D92F42">
        <w:t xml:space="preserve">. После однократного приема </w:t>
      </w:r>
      <w:proofErr w:type="spellStart"/>
      <w:r w:rsidR="002D0A20" w:rsidRPr="003E7529">
        <w:t>тамсулозина</w:t>
      </w:r>
      <w:proofErr w:type="spellEnd"/>
      <w:r w:rsidR="002D0A20" w:rsidRPr="00D92F42">
        <w:t xml:space="preserve"> </w:t>
      </w:r>
      <w:r w:rsidRPr="00D92F42">
        <w:t xml:space="preserve">внутрь натощак в дозе 0,4 мг максимальная концентрация </w:t>
      </w:r>
      <w:proofErr w:type="spellStart"/>
      <w:r w:rsidRPr="00D92F42">
        <w:t>тамсулозина</w:t>
      </w:r>
      <w:proofErr w:type="spellEnd"/>
      <w:r w:rsidRPr="00D92F42">
        <w:t xml:space="preserve"> в плазме крови</w:t>
      </w:r>
      <w:r>
        <w:t xml:space="preserve"> (</w:t>
      </w:r>
      <w:proofErr w:type="spellStart"/>
      <w:r>
        <w:rPr>
          <w:lang w:val="en-US"/>
        </w:rPr>
        <w:t>C</w:t>
      </w:r>
      <w:r w:rsidRPr="00AD3E7E">
        <w:rPr>
          <w:vertAlign w:val="subscript"/>
          <w:lang w:val="en-US"/>
        </w:rPr>
        <w:t>max</w:t>
      </w:r>
      <w:proofErr w:type="spellEnd"/>
      <w:r w:rsidRPr="00AD3E7E">
        <w:t>)</w:t>
      </w:r>
      <w:r>
        <w:t xml:space="preserve"> </w:t>
      </w:r>
      <w:r w:rsidRPr="00D92F42">
        <w:t xml:space="preserve">достигается в среднем через 6 часов. В равновесном состоянии, которое достигается к </w:t>
      </w:r>
      <w:r>
        <w:t>4-му</w:t>
      </w:r>
      <w:r w:rsidRPr="00D92F42">
        <w:t xml:space="preserve"> дню приема </w:t>
      </w:r>
      <w:proofErr w:type="spellStart"/>
      <w:r w:rsidR="002D0A20" w:rsidRPr="003E7529">
        <w:t>тамсулозина</w:t>
      </w:r>
      <w:proofErr w:type="spellEnd"/>
      <w:r w:rsidRPr="00D92F42">
        <w:t xml:space="preserve">, концентрация </w:t>
      </w:r>
      <w:proofErr w:type="spellStart"/>
      <w:r w:rsidRPr="00D92F42">
        <w:t>тамсулозина</w:t>
      </w:r>
      <w:proofErr w:type="spellEnd"/>
      <w:r w:rsidRPr="00D92F42">
        <w:t xml:space="preserve"> в плазме крови </w:t>
      </w:r>
      <w:r w:rsidRPr="00AD3E7E">
        <w:t>(</w:t>
      </w:r>
      <w:proofErr w:type="spellStart"/>
      <w:r>
        <w:rPr>
          <w:lang w:val="en-US"/>
        </w:rPr>
        <w:t>C</w:t>
      </w:r>
      <w:r w:rsidRPr="00AD3E7E">
        <w:rPr>
          <w:vertAlign w:val="subscript"/>
          <w:lang w:val="en-US"/>
        </w:rPr>
        <w:t>ss</w:t>
      </w:r>
      <w:proofErr w:type="spellEnd"/>
      <w:r w:rsidRPr="00AD3E7E">
        <w:t xml:space="preserve">) </w:t>
      </w:r>
      <w:r w:rsidRPr="00D92F42">
        <w:t>достигает наибольшего значения через 4-6</w:t>
      </w:r>
      <w:r w:rsidR="005C1200">
        <w:t> </w:t>
      </w:r>
      <w:r w:rsidRPr="00D92F42">
        <w:t>часов как натощак, так и после приема пищи. Максимальная концентрация в плазме крови увеличивается примерно от 6</w:t>
      </w:r>
      <w:r>
        <w:t> </w:t>
      </w:r>
      <w:proofErr w:type="spellStart"/>
      <w:r w:rsidRPr="00D92F42">
        <w:t>нг</w:t>
      </w:r>
      <w:proofErr w:type="spellEnd"/>
      <w:r w:rsidRPr="00D92F42">
        <w:t>/мл после первой дозы до 11</w:t>
      </w:r>
      <w:r>
        <w:t> </w:t>
      </w:r>
      <w:proofErr w:type="spellStart"/>
      <w:r w:rsidRPr="00D92F42">
        <w:t>нг</w:t>
      </w:r>
      <w:proofErr w:type="spellEnd"/>
      <w:r w:rsidRPr="00D92F42">
        <w:t xml:space="preserve">/мл в равновесном состоянии. Наименьшая концентрация </w:t>
      </w:r>
      <w:proofErr w:type="spellStart"/>
      <w:r w:rsidRPr="00D92F42">
        <w:t>тамсулозина</w:t>
      </w:r>
      <w:proofErr w:type="spellEnd"/>
      <w:r w:rsidRPr="00D92F42">
        <w:t xml:space="preserve"> в плазме крови составляет 40</w:t>
      </w:r>
      <w:r>
        <w:t> </w:t>
      </w:r>
      <w:r w:rsidRPr="00D92F42">
        <w:t xml:space="preserve">% от максимальной концентрации в плазме крови натощак и после приема пищи. Существуют значительные индивидуальные различия среди пациентов в отношении концентрации </w:t>
      </w:r>
      <w:proofErr w:type="spellStart"/>
      <w:r w:rsidRPr="00D92F42">
        <w:t>тамсулозина</w:t>
      </w:r>
      <w:proofErr w:type="spellEnd"/>
      <w:r w:rsidRPr="00D92F42">
        <w:t xml:space="preserve"> в плазме крови после однократно</w:t>
      </w:r>
      <w:r>
        <w:t>й дозы</w:t>
      </w:r>
      <w:r w:rsidRPr="00D92F42">
        <w:t xml:space="preserve"> и многократного приема </w:t>
      </w:r>
      <w:proofErr w:type="spellStart"/>
      <w:r w:rsidR="002D0A20" w:rsidRPr="003E7529">
        <w:t>тамсулозина</w:t>
      </w:r>
      <w:proofErr w:type="spellEnd"/>
      <w:r w:rsidRPr="00D92F42">
        <w:t>.</w:t>
      </w:r>
    </w:p>
    <w:p w:rsidR="00B313CB" w:rsidRPr="00D92F42" w:rsidRDefault="00B313CB" w:rsidP="00B313CB">
      <w:r w:rsidRPr="00D92F42">
        <w:rPr>
          <w:i/>
          <w:iCs/>
        </w:rPr>
        <w:t>Распределение</w:t>
      </w:r>
    </w:p>
    <w:p w:rsidR="00B313CB" w:rsidRPr="00D92F42" w:rsidRDefault="00B313CB" w:rsidP="00B313CB">
      <w:pPr>
        <w:jc w:val="both"/>
      </w:pPr>
      <w:r w:rsidRPr="00D92F42">
        <w:t xml:space="preserve">Связывание с белками плазмы крови – </w:t>
      </w:r>
      <w:r>
        <w:t xml:space="preserve">около </w:t>
      </w:r>
      <w:r w:rsidRPr="00D92F42">
        <w:t>99 %, объем распределения небольшой (около 0,2 л/кг).</w:t>
      </w:r>
    </w:p>
    <w:p w:rsidR="00B313CB" w:rsidRPr="00D92F42" w:rsidRDefault="00B313CB" w:rsidP="00B313CB">
      <w:r w:rsidRPr="00D92F42">
        <w:rPr>
          <w:i/>
          <w:iCs/>
        </w:rPr>
        <w:t>Метаболизм</w:t>
      </w:r>
    </w:p>
    <w:p w:rsidR="00B313CB" w:rsidRDefault="00B313CB" w:rsidP="00B313CB">
      <w:pPr>
        <w:jc w:val="both"/>
      </w:pPr>
      <w:proofErr w:type="spellStart"/>
      <w:r w:rsidRPr="00D92F42">
        <w:t>Тамсулозин</w:t>
      </w:r>
      <w:proofErr w:type="spellEnd"/>
      <w:r w:rsidRPr="00D92F42">
        <w:t xml:space="preserve"> медленно </w:t>
      </w:r>
      <w:proofErr w:type="spellStart"/>
      <w:r>
        <w:t>метаболизируется</w:t>
      </w:r>
      <w:proofErr w:type="spellEnd"/>
      <w:r w:rsidRPr="00D92F42">
        <w:t xml:space="preserve"> в печени с образованием менее активных метаболитов. Большая часть </w:t>
      </w:r>
      <w:proofErr w:type="spellStart"/>
      <w:r w:rsidRPr="00D92F42">
        <w:t>тамсулозина</w:t>
      </w:r>
      <w:proofErr w:type="spellEnd"/>
      <w:r w:rsidRPr="00D92F42">
        <w:t xml:space="preserve"> представлена в плазме крови в неизмененно</w:t>
      </w:r>
      <w:r>
        <w:t>м</w:t>
      </w:r>
      <w:r w:rsidRPr="00D92F42">
        <w:t xml:space="preserve"> </w:t>
      </w:r>
      <w:r>
        <w:t>виде</w:t>
      </w:r>
      <w:r w:rsidRPr="00D92F42">
        <w:t>.</w:t>
      </w:r>
      <w:r>
        <w:t xml:space="preserve"> По экспериментальным данным, с</w:t>
      </w:r>
      <w:r w:rsidRPr="00D92F42">
        <w:t xml:space="preserve">пособность </w:t>
      </w:r>
      <w:proofErr w:type="spellStart"/>
      <w:r w:rsidRPr="00D92F42">
        <w:t>тамсулозина</w:t>
      </w:r>
      <w:proofErr w:type="spellEnd"/>
      <w:r w:rsidRPr="00D92F42">
        <w:t xml:space="preserve"> индуцировать активность </w:t>
      </w:r>
      <w:proofErr w:type="spellStart"/>
      <w:r w:rsidRPr="00D92F42">
        <w:t>микросомальных</w:t>
      </w:r>
      <w:proofErr w:type="spellEnd"/>
      <w:r w:rsidRPr="00D92F42">
        <w:t xml:space="preserve"> ферментов печени</w:t>
      </w:r>
      <w:r>
        <w:t xml:space="preserve"> практически отсутствует</w:t>
      </w:r>
      <w:r w:rsidRPr="00D92F42">
        <w:t xml:space="preserve">. </w:t>
      </w:r>
    </w:p>
    <w:p w:rsidR="00B313CB" w:rsidRDefault="00B313CB" w:rsidP="00B313CB">
      <w:pPr>
        <w:jc w:val="both"/>
      </w:pPr>
      <w:r w:rsidRPr="00D92F42">
        <w:t>При печеночной недостаточности не требуется коррекции режима дозирования.</w:t>
      </w:r>
    </w:p>
    <w:p w:rsidR="00B313CB" w:rsidRPr="00D92F42" w:rsidRDefault="00B313CB" w:rsidP="00B313CB">
      <w:r w:rsidRPr="00D92F42">
        <w:rPr>
          <w:i/>
          <w:iCs/>
        </w:rPr>
        <w:t>Выведение</w:t>
      </w:r>
    </w:p>
    <w:p w:rsidR="00B313CB" w:rsidRPr="00D92F42" w:rsidRDefault="00B313CB" w:rsidP="00B313CB">
      <w:pPr>
        <w:jc w:val="both"/>
      </w:pPr>
      <w:proofErr w:type="spellStart"/>
      <w:r w:rsidRPr="00D92F42">
        <w:t>Тамсулозин</w:t>
      </w:r>
      <w:proofErr w:type="spellEnd"/>
      <w:r w:rsidRPr="00D92F42">
        <w:t xml:space="preserve"> и его метаболиты </w:t>
      </w:r>
      <w:r>
        <w:t xml:space="preserve">главным образом </w:t>
      </w:r>
      <w:r w:rsidRPr="00D92F42">
        <w:t xml:space="preserve">выводятся </w:t>
      </w:r>
      <w:r w:rsidR="00B42BCF">
        <w:t>почками</w:t>
      </w:r>
      <w:r w:rsidRPr="00D92F42">
        <w:t>, при этом приблизительно 4-6</w:t>
      </w:r>
      <w:r>
        <w:t> </w:t>
      </w:r>
      <w:r w:rsidRPr="00D92F42">
        <w:t xml:space="preserve">% </w:t>
      </w:r>
      <w:proofErr w:type="spellStart"/>
      <w:r w:rsidR="003E7529">
        <w:t>тамсулозина</w:t>
      </w:r>
      <w:proofErr w:type="spellEnd"/>
      <w:r w:rsidRPr="00D92F42">
        <w:t xml:space="preserve"> выделяется в неизмененном виде.</w:t>
      </w:r>
    </w:p>
    <w:p w:rsidR="00B313CB" w:rsidRPr="00D92F42" w:rsidRDefault="00B313CB" w:rsidP="00B313CB">
      <w:pPr>
        <w:jc w:val="both"/>
      </w:pPr>
      <w:r w:rsidRPr="00D92F42">
        <w:t>Период полувыведения</w:t>
      </w:r>
      <w:r>
        <w:t xml:space="preserve"> </w:t>
      </w:r>
      <w:proofErr w:type="spellStart"/>
      <w:r w:rsidR="003E7529">
        <w:t>тамсулозина</w:t>
      </w:r>
      <w:proofErr w:type="spellEnd"/>
      <w:r>
        <w:t xml:space="preserve"> (</w:t>
      </w:r>
      <w:r>
        <w:rPr>
          <w:lang w:val="en-US"/>
        </w:rPr>
        <w:t>T</w:t>
      </w:r>
      <w:r w:rsidRPr="00AD3E7E">
        <w:rPr>
          <w:vertAlign w:val="subscript"/>
        </w:rPr>
        <w:t>1/2</w:t>
      </w:r>
      <w:r w:rsidRPr="00AD3E7E">
        <w:t>)</w:t>
      </w:r>
      <w:r w:rsidRPr="00D92F42">
        <w:t xml:space="preserve"> при однократном приеме 0,4 мг </w:t>
      </w:r>
      <w:proofErr w:type="spellStart"/>
      <w:r w:rsidRPr="00D92F42">
        <w:t>тамсулозина</w:t>
      </w:r>
      <w:proofErr w:type="spellEnd"/>
      <w:r w:rsidRPr="00D92F42">
        <w:t xml:space="preserve"> в виде таблеток и в равновесном состоянии составляет 19 и 15 часов</w:t>
      </w:r>
      <w:r>
        <w:t>,</w:t>
      </w:r>
      <w:r w:rsidRPr="00D92F42">
        <w:t xml:space="preserve"> соответственно.</w:t>
      </w:r>
      <w:r>
        <w:t xml:space="preserve"> </w:t>
      </w:r>
    </w:p>
    <w:p w:rsidR="00B313CB" w:rsidRPr="00D92F42" w:rsidRDefault="00B313CB" w:rsidP="00B313CB">
      <w:pPr>
        <w:jc w:val="both"/>
      </w:pPr>
    </w:p>
    <w:p w:rsidR="00B313CB" w:rsidRPr="00D92F42" w:rsidRDefault="00B313CB" w:rsidP="00B313CB">
      <w:pPr>
        <w:pStyle w:val="3"/>
        <w:spacing w:before="0" w:after="0"/>
        <w:jc w:val="both"/>
        <w:rPr>
          <w:rFonts w:ascii="Times New Roman" w:hAnsi="Times New Roman" w:cs="Times New Roman"/>
          <w:sz w:val="24"/>
          <w:szCs w:val="24"/>
        </w:rPr>
      </w:pPr>
      <w:r>
        <w:rPr>
          <w:rFonts w:ascii="Times New Roman" w:hAnsi="Times New Roman" w:cs="Times New Roman"/>
          <w:sz w:val="24"/>
          <w:szCs w:val="24"/>
        </w:rPr>
        <w:t>Показания к применению</w:t>
      </w:r>
    </w:p>
    <w:p w:rsidR="00B313CB" w:rsidRPr="00D92F42" w:rsidRDefault="00B313CB" w:rsidP="00B313CB">
      <w:pPr>
        <w:jc w:val="both"/>
      </w:pPr>
      <w:r>
        <w:t>Д</w:t>
      </w:r>
      <w:r w:rsidRPr="00D92F42">
        <w:t>оброкачественн</w:t>
      </w:r>
      <w:r>
        <w:t>ая</w:t>
      </w:r>
      <w:r w:rsidRPr="00D92F42">
        <w:t xml:space="preserve"> ги</w:t>
      </w:r>
      <w:r>
        <w:t>перпла</w:t>
      </w:r>
      <w:r w:rsidRPr="00CC409D">
        <w:t>зия п</w:t>
      </w:r>
      <w:r>
        <w:t>редстательной железы (лечение нарушений мочеиспускания).</w:t>
      </w:r>
    </w:p>
    <w:p w:rsidR="00B313CB" w:rsidRPr="00D92F42" w:rsidRDefault="00B313CB" w:rsidP="00B313CB">
      <w:pPr>
        <w:jc w:val="both"/>
      </w:pPr>
    </w:p>
    <w:p w:rsidR="00B313CB" w:rsidRPr="00D92F42" w:rsidRDefault="00B313CB" w:rsidP="00B313CB">
      <w:pPr>
        <w:pStyle w:val="2"/>
        <w:spacing w:before="0" w:after="0"/>
        <w:rPr>
          <w:rFonts w:ascii="Times New Roman" w:hAnsi="Times New Roman" w:cs="Times New Roman"/>
          <w:i w:val="0"/>
          <w:sz w:val="24"/>
          <w:szCs w:val="24"/>
        </w:rPr>
      </w:pPr>
      <w:r>
        <w:rPr>
          <w:rFonts w:ascii="Times New Roman" w:hAnsi="Times New Roman" w:cs="Times New Roman"/>
          <w:i w:val="0"/>
          <w:sz w:val="24"/>
          <w:szCs w:val="24"/>
        </w:rPr>
        <w:t>Противопоказания</w:t>
      </w:r>
    </w:p>
    <w:p w:rsidR="00B313CB" w:rsidRDefault="00B313CB" w:rsidP="00B313CB">
      <w:pPr>
        <w:numPr>
          <w:ilvl w:val="0"/>
          <w:numId w:val="1"/>
        </w:numPr>
        <w:ind w:left="284" w:hanging="284"/>
      </w:pPr>
      <w:r>
        <w:t xml:space="preserve">гиперчувствительность к </w:t>
      </w:r>
      <w:proofErr w:type="spellStart"/>
      <w:r>
        <w:t>тамсулозину</w:t>
      </w:r>
      <w:proofErr w:type="spellEnd"/>
      <w:r>
        <w:t xml:space="preserve"> или любому другому компоненту препарата;</w:t>
      </w:r>
    </w:p>
    <w:p w:rsidR="00B313CB" w:rsidRPr="00D92F42" w:rsidRDefault="00B313CB" w:rsidP="00B313CB">
      <w:pPr>
        <w:numPr>
          <w:ilvl w:val="0"/>
          <w:numId w:val="1"/>
        </w:numPr>
        <w:ind w:left="284" w:hanging="284"/>
      </w:pPr>
      <w:r w:rsidRPr="00D92F42">
        <w:t>ортостатическая гипотензия;</w:t>
      </w:r>
    </w:p>
    <w:p w:rsidR="00B313CB" w:rsidRDefault="008B7954" w:rsidP="00B313CB">
      <w:pPr>
        <w:numPr>
          <w:ilvl w:val="0"/>
          <w:numId w:val="1"/>
        </w:numPr>
        <w:ind w:left="284" w:hanging="284"/>
      </w:pPr>
      <w:r>
        <w:t xml:space="preserve">тяжелая </w:t>
      </w:r>
      <w:r w:rsidR="00B313CB" w:rsidRPr="00D92F42">
        <w:t>печеночн</w:t>
      </w:r>
      <w:r w:rsidR="00B313CB">
        <w:t>ая</w:t>
      </w:r>
      <w:r w:rsidR="00B313CB" w:rsidRPr="00D92F42">
        <w:t xml:space="preserve"> недостаточност</w:t>
      </w:r>
      <w:r w:rsidR="00372CE1">
        <w:t>ь;</w:t>
      </w:r>
    </w:p>
    <w:p w:rsidR="008B7954" w:rsidRDefault="00372CE1" w:rsidP="00B313CB">
      <w:pPr>
        <w:numPr>
          <w:ilvl w:val="0"/>
          <w:numId w:val="1"/>
        </w:numPr>
        <w:ind w:left="284" w:hanging="284"/>
      </w:pPr>
      <w:r>
        <w:t>детский возраст до 18 лет</w:t>
      </w:r>
      <w:r w:rsidR="008B7954">
        <w:t>;</w:t>
      </w:r>
    </w:p>
    <w:p w:rsidR="00372CE1" w:rsidRDefault="008B7954" w:rsidP="00B313CB">
      <w:pPr>
        <w:numPr>
          <w:ilvl w:val="0"/>
          <w:numId w:val="1"/>
        </w:numPr>
        <w:ind w:left="284" w:hanging="284"/>
      </w:pPr>
      <w:r>
        <w:t>лица женского пола (применяется только у мужчин)</w:t>
      </w:r>
      <w:r w:rsidR="00372CE1">
        <w:t>.</w:t>
      </w:r>
    </w:p>
    <w:p w:rsidR="00B313CB" w:rsidRDefault="00B313CB" w:rsidP="00B313CB">
      <w:pPr>
        <w:jc w:val="both"/>
        <w:rPr>
          <w:b/>
        </w:rPr>
      </w:pPr>
    </w:p>
    <w:p w:rsidR="00B313CB" w:rsidRPr="00D92F42" w:rsidRDefault="00B313CB" w:rsidP="00B313CB">
      <w:pPr>
        <w:jc w:val="both"/>
      </w:pPr>
      <w:r w:rsidRPr="00D92F42">
        <w:rPr>
          <w:b/>
        </w:rPr>
        <w:t xml:space="preserve">С </w:t>
      </w:r>
      <w:r w:rsidRPr="00D92F42">
        <w:rPr>
          <w:b/>
          <w:iCs/>
        </w:rPr>
        <w:t>осторожностью</w:t>
      </w:r>
    </w:p>
    <w:p w:rsidR="00B313CB" w:rsidRDefault="00B313CB" w:rsidP="00B313CB">
      <w:pPr>
        <w:numPr>
          <w:ilvl w:val="0"/>
          <w:numId w:val="1"/>
        </w:numPr>
        <w:ind w:left="284" w:hanging="284"/>
        <w:jc w:val="both"/>
      </w:pPr>
      <w:r>
        <w:lastRenderedPageBreak/>
        <w:t xml:space="preserve">хроническая </w:t>
      </w:r>
      <w:r w:rsidRPr="00D92F42">
        <w:t xml:space="preserve">почечная недостаточность </w:t>
      </w:r>
      <w:r>
        <w:t>(</w:t>
      </w:r>
      <w:r w:rsidRPr="00D92F42">
        <w:t xml:space="preserve">клиренс </w:t>
      </w:r>
      <w:proofErr w:type="spellStart"/>
      <w:r w:rsidRPr="00D92F42">
        <w:t>креатинина</w:t>
      </w:r>
      <w:proofErr w:type="spellEnd"/>
      <w:r w:rsidRPr="00D92F42">
        <w:t xml:space="preserve"> </w:t>
      </w:r>
      <w:r>
        <w:t>ниже</w:t>
      </w:r>
      <w:r w:rsidRPr="00D92F42">
        <w:t xml:space="preserve"> 10 мл/мин)</w:t>
      </w:r>
      <w:r>
        <w:t>;</w:t>
      </w:r>
    </w:p>
    <w:p w:rsidR="00B313CB" w:rsidRDefault="00B313CB" w:rsidP="00B313CB">
      <w:pPr>
        <w:numPr>
          <w:ilvl w:val="0"/>
          <w:numId w:val="1"/>
        </w:numPr>
        <w:ind w:left="284" w:hanging="284"/>
        <w:jc w:val="both"/>
      </w:pPr>
      <w:r>
        <w:t>тяжел</w:t>
      </w:r>
      <w:r w:rsidR="000B65EA">
        <w:t>ая</w:t>
      </w:r>
      <w:r>
        <w:t xml:space="preserve"> </w:t>
      </w:r>
      <w:r w:rsidR="000B65EA">
        <w:t>печеночная недостаточность</w:t>
      </w:r>
      <w:r>
        <w:t>;</w:t>
      </w:r>
    </w:p>
    <w:p w:rsidR="00B313CB" w:rsidRDefault="00B313CB" w:rsidP="00B313CB">
      <w:pPr>
        <w:numPr>
          <w:ilvl w:val="0"/>
          <w:numId w:val="1"/>
        </w:numPr>
        <w:ind w:left="284" w:hanging="284"/>
        <w:jc w:val="both"/>
      </w:pPr>
      <w:r>
        <w:t>артериальная гипотензия.</w:t>
      </w:r>
    </w:p>
    <w:p w:rsidR="00B313CB" w:rsidRPr="00D92F42" w:rsidRDefault="00B313CB" w:rsidP="00B313CB">
      <w:pPr>
        <w:jc w:val="both"/>
        <w:rPr>
          <w:b/>
        </w:rPr>
      </w:pPr>
      <w:bookmarkStart w:id="0" w:name="07"/>
      <w:bookmarkEnd w:id="0"/>
      <w:r w:rsidRPr="00D92F42">
        <w:rPr>
          <w:b/>
        </w:rPr>
        <w:t>Способ применения и дозы</w:t>
      </w:r>
    </w:p>
    <w:p w:rsidR="00B313CB" w:rsidRPr="00D92F42" w:rsidRDefault="00B313CB" w:rsidP="00B313CB">
      <w:pPr>
        <w:jc w:val="both"/>
        <w:rPr>
          <w:rFonts w:ascii="Times New Roman CYR" w:hAnsi="Times New Roman CYR" w:cs="Times New Roman CYR"/>
        </w:rPr>
      </w:pPr>
      <w:r w:rsidRPr="00D92F42">
        <w:rPr>
          <w:rFonts w:ascii="Times New Roman CYR" w:hAnsi="Times New Roman CYR" w:cs="Times New Roman CYR"/>
        </w:rPr>
        <w:t>Внутрь, по 1 таблетке</w:t>
      </w:r>
      <w:r>
        <w:rPr>
          <w:rFonts w:ascii="Times New Roman CYR" w:hAnsi="Times New Roman CYR" w:cs="Times New Roman CYR"/>
        </w:rPr>
        <w:t xml:space="preserve"> (0,4 мг)</w:t>
      </w:r>
      <w:r w:rsidRPr="00D92F42">
        <w:rPr>
          <w:rFonts w:ascii="Times New Roman CYR" w:hAnsi="Times New Roman CYR" w:cs="Times New Roman CYR"/>
        </w:rPr>
        <w:t xml:space="preserve"> 1 раз в сутки независимо от приема пищи. Длительность применения не ограничена, препарат назначают в виде непрерывной терапии.</w:t>
      </w:r>
    </w:p>
    <w:p w:rsidR="00B313CB" w:rsidRPr="00D92F42" w:rsidRDefault="00B313CB" w:rsidP="00B313CB">
      <w:pPr>
        <w:jc w:val="both"/>
        <w:rPr>
          <w:rFonts w:ascii="Times New Roman CYR" w:hAnsi="Times New Roman CYR" w:cs="Times New Roman CYR"/>
        </w:rPr>
      </w:pPr>
      <w:r w:rsidRPr="00D92F42">
        <w:rPr>
          <w:rFonts w:ascii="Times New Roman CYR" w:hAnsi="Times New Roman CYR" w:cs="Times New Roman CYR"/>
        </w:rPr>
        <w:t>Таблетк</w:t>
      </w:r>
      <w:r>
        <w:rPr>
          <w:rFonts w:ascii="Times New Roman CYR" w:hAnsi="Times New Roman CYR" w:cs="Times New Roman CYR"/>
        </w:rPr>
        <w:t xml:space="preserve">а должна быть принята целиком, ее нельзя разжевывать, так как это может повлиять на пролонгированное высвобождение </w:t>
      </w:r>
      <w:r w:rsidRPr="00CC409D">
        <w:rPr>
          <w:rFonts w:ascii="Times New Roman CYR" w:hAnsi="Times New Roman CYR" w:cs="Times New Roman CYR"/>
        </w:rPr>
        <w:t>действующего в</w:t>
      </w:r>
      <w:r>
        <w:rPr>
          <w:rFonts w:ascii="Times New Roman CYR" w:hAnsi="Times New Roman CYR" w:cs="Times New Roman CYR"/>
        </w:rPr>
        <w:t xml:space="preserve">ещества. </w:t>
      </w:r>
    </w:p>
    <w:p w:rsidR="00B313CB" w:rsidRPr="00D92F42" w:rsidRDefault="00B313CB" w:rsidP="00B313CB">
      <w:pPr>
        <w:jc w:val="both"/>
        <w:rPr>
          <w:rFonts w:ascii="Times New Roman CYR" w:hAnsi="Times New Roman CYR" w:cs="Times New Roman CYR"/>
        </w:rPr>
      </w:pPr>
    </w:p>
    <w:p w:rsidR="00B313CB" w:rsidRPr="00D92F42" w:rsidRDefault="00B313CB" w:rsidP="00B313CB">
      <w:pPr>
        <w:jc w:val="both"/>
        <w:rPr>
          <w:b/>
        </w:rPr>
      </w:pPr>
      <w:r w:rsidRPr="00D92F42">
        <w:rPr>
          <w:b/>
        </w:rPr>
        <w:t>Побочное действие</w:t>
      </w:r>
    </w:p>
    <w:p w:rsidR="00B313CB" w:rsidRPr="00B47C03" w:rsidRDefault="00B313CB" w:rsidP="00B313CB">
      <w:pPr>
        <w:jc w:val="both"/>
        <w:rPr>
          <w:szCs w:val="20"/>
        </w:rPr>
      </w:pPr>
      <w:r w:rsidRPr="00B47C03">
        <w:rPr>
          <w:szCs w:val="20"/>
        </w:rPr>
        <w:t>Классификация частоты развития побочных эффектов согласно рекомендациям Всемирной организации здравоохранения (ВОЗ):</w:t>
      </w:r>
    </w:p>
    <w:p w:rsidR="00B313CB" w:rsidRPr="00B47C03" w:rsidRDefault="00B313CB" w:rsidP="00B313CB">
      <w:pPr>
        <w:jc w:val="both"/>
        <w:rPr>
          <w:szCs w:val="20"/>
        </w:rPr>
      </w:pPr>
      <w:r w:rsidRPr="00B47C03">
        <w:rPr>
          <w:szCs w:val="20"/>
        </w:rPr>
        <w:t>очень часто     ≥ 1/10;</w:t>
      </w:r>
    </w:p>
    <w:p w:rsidR="00B313CB" w:rsidRPr="00B47C03" w:rsidRDefault="00B313CB" w:rsidP="00B313CB">
      <w:pPr>
        <w:jc w:val="both"/>
        <w:rPr>
          <w:szCs w:val="20"/>
        </w:rPr>
      </w:pPr>
      <w:r w:rsidRPr="00B47C03">
        <w:rPr>
          <w:szCs w:val="20"/>
        </w:rPr>
        <w:t>часто               от ≥ 1/100 до &lt; 1/10;</w:t>
      </w:r>
    </w:p>
    <w:p w:rsidR="00B313CB" w:rsidRPr="00B47C03" w:rsidRDefault="00B313CB" w:rsidP="00B313CB">
      <w:pPr>
        <w:jc w:val="both"/>
        <w:rPr>
          <w:szCs w:val="20"/>
        </w:rPr>
      </w:pPr>
      <w:r w:rsidRPr="00B47C03">
        <w:rPr>
          <w:szCs w:val="20"/>
        </w:rPr>
        <w:t>нечасто           от ≥ 1/1000 до &lt; 1/100;</w:t>
      </w:r>
    </w:p>
    <w:p w:rsidR="00B313CB" w:rsidRPr="00B47C03" w:rsidRDefault="00B313CB" w:rsidP="00B313CB">
      <w:pPr>
        <w:jc w:val="both"/>
        <w:rPr>
          <w:szCs w:val="20"/>
        </w:rPr>
      </w:pPr>
      <w:r w:rsidRPr="00B47C03">
        <w:rPr>
          <w:szCs w:val="20"/>
        </w:rPr>
        <w:t>редко               от ≥ 1/10000 до &lt; 1/1000;</w:t>
      </w:r>
    </w:p>
    <w:p w:rsidR="00B313CB" w:rsidRPr="00B47C03" w:rsidRDefault="00B313CB" w:rsidP="00B313CB">
      <w:pPr>
        <w:jc w:val="both"/>
        <w:rPr>
          <w:szCs w:val="20"/>
        </w:rPr>
      </w:pPr>
      <w:r w:rsidRPr="00B47C03">
        <w:rPr>
          <w:szCs w:val="20"/>
        </w:rPr>
        <w:t>очень редко     &lt; 1/10000, включая отдельные сообщения;</w:t>
      </w:r>
    </w:p>
    <w:p w:rsidR="00A1240D" w:rsidRDefault="00B313CB" w:rsidP="00B313CB">
      <w:pPr>
        <w:jc w:val="both"/>
        <w:rPr>
          <w:szCs w:val="20"/>
        </w:rPr>
      </w:pPr>
      <w:r w:rsidRPr="00B47C03">
        <w:rPr>
          <w:szCs w:val="20"/>
        </w:rPr>
        <w:t>частота неизвестна – по имеющимся данным установить частоту возникновения не представляется возможным.</w:t>
      </w:r>
    </w:p>
    <w:tbl>
      <w:tblPr>
        <w:tblStyle w:val="ab"/>
        <w:tblW w:w="9498" w:type="dxa"/>
        <w:tblInd w:w="-34" w:type="dxa"/>
        <w:tblLayout w:type="fixed"/>
        <w:tblLook w:val="04A0" w:firstRow="1" w:lastRow="0" w:firstColumn="1" w:lastColumn="0" w:noHBand="0" w:noVBand="1"/>
      </w:tblPr>
      <w:tblGrid>
        <w:gridCol w:w="1985"/>
        <w:gridCol w:w="1276"/>
        <w:gridCol w:w="1701"/>
        <w:gridCol w:w="1276"/>
        <w:gridCol w:w="1275"/>
        <w:gridCol w:w="1985"/>
      </w:tblGrid>
      <w:tr w:rsidR="009E62EF" w:rsidRPr="009E62EF" w:rsidTr="00AB18F0">
        <w:tc>
          <w:tcPr>
            <w:tcW w:w="1985" w:type="dxa"/>
            <w:vMerge w:val="restart"/>
          </w:tcPr>
          <w:p w:rsidR="009E62EF" w:rsidRPr="009E62EF" w:rsidRDefault="009E62EF" w:rsidP="009E62EF">
            <w:pPr>
              <w:contextualSpacing/>
              <w:rPr>
                <w:rFonts w:eastAsiaTheme="minorHAnsi"/>
                <w:lang w:eastAsia="en-US"/>
              </w:rPr>
            </w:pPr>
            <w:r w:rsidRPr="009E62EF">
              <w:rPr>
                <w:rFonts w:eastAsiaTheme="minorHAnsi"/>
                <w:lang w:eastAsia="en-US"/>
              </w:rPr>
              <w:t>Тип нарушения</w:t>
            </w:r>
          </w:p>
        </w:tc>
        <w:tc>
          <w:tcPr>
            <w:tcW w:w="7513" w:type="dxa"/>
            <w:gridSpan w:val="5"/>
          </w:tcPr>
          <w:p w:rsidR="009E62EF" w:rsidRPr="009E62EF" w:rsidRDefault="009E62EF" w:rsidP="009E62EF">
            <w:pPr>
              <w:contextualSpacing/>
              <w:jc w:val="center"/>
              <w:rPr>
                <w:rFonts w:eastAsiaTheme="minorHAnsi"/>
                <w:lang w:eastAsia="en-US"/>
              </w:rPr>
            </w:pPr>
            <w:r w:rsidRPr="009E62EF">
              <w:rPr>
                <w:rFonts w:eastAsiaTheme="minorHAnsi"/>
                <w:lang w:eastAsia="en-US"/>
              </w:rPr>
              <w:t>Частота</w:t>
            </w:r>
          </w:p>
        </w:tc>
      </w:tr>
      <w:tr w:rsidR="001706A0" w:rsidRPr="009E62EF" w:rsidTr="005C1200">
        <w:tc>
          <w:tcPr>
            <w:tcW w:w="1985" w:type="dxa"/>
            <w:vMerge/>
          </w:tcPr>
          <w:p w:rsidR="009E62EF" w:rsidRPr="009E62EF" w:rsidRDefault="009E62EF" w:rsidP="009E62EF">
            <w:pPr>
              <w:contextualSpacing/>
              <w:rPr>
                <w:rFonts w:eastAsiaTheme="minorHAnsi"/>
                <w:lang w:eastAsia="en-US"/>
              </w:rPr>
            </w:pP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Часто</w:t>
            </w:r>
          </w:p>
        </w:tc>
        <w:tc>
          <w:tcPr>
            <w:tcW w:w="1701"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Нечасто</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Редко</w:t>
            </w:r>
          </w:p>
        </w:tc>
        <w:tc>
          <w:tcPr>
            <w:tcW w:w="1275"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Очень редко</w:t>
            </w:r>
          </w:p>
        </w:tc>
        <w:tc>
          <w:tcPr>
            <w:tcW w:w="1985"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Частота неизвестна</w:t>
            </w:r>
          </w:p>
        </w:tc>
      </w:tr>
      <w:tr w:rsidR="001706A0" w:rsidRPr="009E62EF" w:rsidTr="005C1200">
        <w:tc>
          <w:tcPr>
            <w:tcW w:w="1985" w:type="dxa"/>
          </w:tcPr>
          <w:p w:rsidR="009E62EF" w:rsidRPr="009E62EF" w:rsidRDefault="009E62EF" w:rsidP="009E62EF">
            <w:pPr>
              <w:contextualSpacing/>
              <w:rPr>
                <w:rFonts w:eastAsiaTheme="minorHAnsi"/>
                <w:lang w:eastAsia="en-US"/>
              </w:rPr>
            </w:pPr>
            <w:r w:rsidRPr="009E62EF">
              <w:rPr>
                <w:rFonts w:eastAsiaTheme="minorHAnsi"/>
                <w:lang w:eastAsia="en-US"/>
              </w:rPr>
              <w:t>Нарушения со стороны нервной системы</w:t>
            </w:r>
          </w:p>
        </w:tc>
        <w:tc>
          <w:tcPr>
            <w:tcW w:w="1276" w:type="dxa"/>
          </w:tcPr>
          <w:p w:rsidR="009E62EF" w:rsidRPr="009E62EF" w:rsidRDefault="009E62EF" w:rsidP="005C1200">
            <w:pPr>
              <w:contextualSpacing/>
              <w:jc w:val="center"/>
              <w:rPr>
                <w:rFonts w:eastAsiaTheme="minorHAnsi"/>
                <w:lang w:eastAsia="en-US"/>
              </w:rPr>
            </w:pPr>
            <w:proofErr w:type="spellStart"/>
            <w:proofErr w:type="gramStart"/>
            <w:r w:rsidRPr="009E62EF">
              <w:rPr>
                <w:rFonts w:eastAsiaTheme="minorHAnsi"/>
                <w:lang w:eastAsia="en-US"/>
              </w:rPr>
              <w:t>голово</w:t>
            </w:r>
            <w:proofErr w:type="spellEnd"/>
            <w:r w:rsidR="005C1200">
              <w:rPr>
                <w:rFonts w:eastAsiaTheme="minorHAnsi"/>
                <w:lang w:eastAsia="en-US"/>
              </w:rPr>
              <w:t>-</w:t>
            </w:r>
            <w:r w:rsidRPr="009E62EF">
              <w:rPr>
                <w:rFonts w:eastAsiaTheme="minorHAnsi"/>
                <w:lang w:eastAsia="en-US"/>
              </w:rPr>
              <w:t>кружение</w:t>
            </w:r>
            <w:proofErr w:type="gramEnd"/>
            <w:r w:rsidRPr="009E62EF">
              <w:rPr>
                <w:rFonts w:eastAsiaTheme="minorHAnsi"/>
                <w:lang w:eastAsia="en-US"/>
              </w:rPr>
              <w:t xml:space="preserve"> (1,3 %)</w:t>
            </w:r>
          </w:p>
        </w:tc>
        <w:tc>
          <w:tcPr>
            <w:tcW w:w="1701"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головная боль</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обморок</w:t>
            </w:r>
          </w:p>
        </w:tc>
        <w:tc>
          <w:tcPr>
            <w:tcW w:w="1275"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985" w:type="dxa"/>
          </w:tcPr>
          <w:p w:rsidR="009E62EF" w:rsidRPr="009E62EF" w:rsidRDefault="00DB63D7" w:rsidP="005C1200">
            <w:pPr>
              <w:contextualSpacing/>
              <w:jc w:val="center"/>
              <w:rPr>
                <w:rFonts w:eastAsiaTheme="minorHAnsi"/>
                <w:lang w:eastAsia="en-US"/>
              </w:rPr>
            </w:pPr>
            <w:r>
              <w:rPr>
                <w:rFonts w:eastAsiaTheme="minorHAnsi"/>
                <w:lang w:eastAsia="en-US"/>
              </w:rPr>
              <w:t>-</w:t>
            </w:r>
          </w:p>
        </w:tc>
      </w:tr>
      <w:tr w:rsidR="001706A0" w:rsidRPr="009E62EF" w:rsidTr="005C1200">
        <w:tc>
          <w:tcPr>
            <w:tcW w:w="1985" w:type="dxa"/>
          </w:tcPr>
          <w:p w:rsidR="009E62EF" w:rsidRPr="009E62EF" w:rsidRDefault="009E62EF" w:rsidP="009E62EF">
            <w:pPr>
              <w:contextualSpacing/>
              <w:rPr>
                <w:rFonts w:eastAsiaTheme="minorHAnsi"/>
                <w:lang w:eastAsia="en-US"/>
              </w:rPr>
            </w:pPr>
            <w:r w:rsidRPr="009E62EF">
              <w:rPr>
                <w:rFonts w:eastAsiaTheme="minorHAnsi"/>
                <w:lang w:eastAsia="en-US"/>
              </w:rPr>
              <w:t>Нарушения со стороны сердца</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701"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сердцебиение</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275"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985" w:type="dxa"/>
          </w:tcPr>
          <w:p w:rsidR="009E62EF" w:rsidRPr="009E62EF" w:rsidRDefault="00DB63D7" w:rsidP="005C1200">
            <w:pPr>
              <w:contextualSpacing/>
              <w:jc w:val="center"/>
              <w:rPr>
                <w:rFonts w:eastAsiaTheme="minorHAnsi"/>
                <w:lang w:eastAsia="en-US"/>
              </w:rPr>
            </w:pPr>
            <w:r>
              <w:rPr>
                <w:rFonts w:eastAsiaTheme="minorHAnsi"/>
                <w:lang w:eastAsia="en-US"/>
              </w:rPr>
              <w:t>-</w:t>
            </w:r>
          </w:p>
        </w:tc>
      </w:tr>
      <w:tr w:rsidR="001706A0" w:rsidRPr="009E62EF" w:rsidTr="005C1200">
        <w:tc>
          <w:tcPr>
            <w:tcW w:w="1985" w:type="dxa"/>
          </w:tcPr>
          <w:p w:rsidR="009E62EF" w:rsidRPr="009E62EF" w:rsidRDefault="009E62EF" w:rsidP="009E62EF">
            <w:pPr>
              <w:contextualSpacing/>
              <w:rPr>
                <w:rFonts w:eastAsiaTheme="minorHAnsi"/>
                <w:lang w:eastAsia="en-US"/>
              </w:rPr>
            </w:pPr>
            <w:r w:rsidRPr="009E62EF">
              <w:rPr>
                <w:rFonts w:eastAsiaTheme="minorHAnsi"/>
                <w:lang w:eastAsia="en-US"/>
              </w:rPr>
              <w:t>Нарушения со стороны сосудов</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701" w:type="dxa"/>
          </w:tcPr>
          <w:p w:rsidR="009E62EF" w:rsidRPr="009E62EF" w:rsidRDefault="005C1200" w:rsidP="005C1200">
            <w:pPr>
              <w:contextualSpacing/>
              <w:jc w:val="center"/>
              <w:rPr>
                <w:rFonts w:eastAsiaTheme="minorHAnsi"/>
                <w:lang w:eastAsia="en-US"/>
              </w:rPr>
            </w:pPr>
            <w:proofErr w:type="spellStart"/>
            <w:proofErr w:type="gramStart"/>
            <w:r>
              <w:rPr>
                <w:rFonts w:eastAsiaTheme="minorHAnsi"/>
                <w:lang w:eastAsia="en-US"/>
              </w:rPr>
              <w:t>о</w:t>
            </w:r>
            <w:r w:rsidR="009E62EF" w:rsidRPr="009E62EF">
              <w:rPr>
                <w:rFonts w:eastAsiaTheme="minorHAnsi"/>
                <w:lang w:eastAsia="en-US"/>
              </w:rPr>
              <w:t>ртостати</w:t>
            </w:r>
            <w:r>
              <w:rPr>
                <w:rFonts w:eastAsiaTheme="minorHAnsi"/>
                <w:lang w:eastAsia="en-US"/>
              </w:rPr>
              <w:t>-</w:t>
            </w:r>
            <w:r w:rsidR="009E62EF" w:rsidRPr="009E62EF">
              <w:rPr>
                <w:rFonts w:eastAsiaTheme="minorHAnsi"/>
                <w:lang w:eastAsia="en-US"/>
              </w:rPr>
              <w:t>ческая</w:t>
            </w:r>
            <w:proofErr w:type="spellEnd"/>
            <w:proofErr w:type="gramEnd"/>
            <w:r w:rsidR="009E62EF" w:rsidRPr="009E62EF">
              <w:rPr>
                <w:rFonts w:eastAsiaTheme="minorHAnsi"/>
                <w:lang w:eastAsia="en-US"/>
              </w:rPr>
              <w:t xml:space="preserve"> гипотензия</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275"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985" w:type="dxa"/>
          </w:tcPr>
          <w:p w:rsidR="009E62EF" w:rsidRPr="009E62EF" w:rsidRDefault="00DB63D7" w:rsidP="005C1200">
            <w:pPr>
              <w:contextualSpacing/>
              <w:jc w:val="center"/>
              <w:rPr>
                <w:rFonts w:eastAsiaTheme="minorHAnsi"/>
                <w:lang w:eastAsia="en-US"/>
              </w:rPr>
            </w:pPr>
            <w:r>
              <w:rPr>
                <w:rFonts w:eastAsiaTheme="minorHAnsi"/>
                <w:lang w:eastAsia="en-US"/>
              </w:rPr>
              <w:t>-</w:t>
            </w:r>
          </w:p>
        </w:tc>
      </w:tr>
      <w:tr w:rsidR="001706A0" w:rsidRPr="009E62EF" w:rsidTr="005C1200">
        <w:tc>
          <w:tcPr>
            <w:tcW w:w="1985" w:type="dxa"/>
          </w:tcPr>
          <w:p w:rsidR="009E62EF" w:rsidRPr="009E62EF" w:rsidRDefault="009E62EF" w:rsidP="009E62EF">
            <w:pPr>
              <w:contextualSpacing/>
              <w:rPr>
                <w:rFonts w:eastAsiaTheme="minorHAnsi"/>
                <w:lang w:eastAsia="en-US"/>
              </w:rPr>
            </w:pPr>
            <w:r w:rsidRPr="009E62EF">
              <w:rPr>
                <w:rFonts w:eastAsiaTheme="minorHAnsi"/>
                <w:lang w:eastAsia="en-US"/>
              </w:rPr>
              <w:t>Нарушения со стороны дыхательной системы, органов грудной клетки и средостения</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701"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ринит</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275"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985" w:type="dxa"/>
          </w:tcPr>
          <w:p w:rsidR="009E62EF" w:rsidRPr="009E62EF" w:rsidRDefault="00DB63D7" w:rsidP="005C1200">
            <w:pPr>
              <w:contextualSpacing/>
              <w:jc w:val="center"/>
              <w:rPr>
                <w:rFonts w:eastAsiaTheme="minorHAnsi"/>
                <w:lang w:eastAsia="en-US"/>
              </w:rPr>
            </w:pPr>
            <w:r>
              <w:rPr>
                <w:rFonts w:eastAsiaTheme="minorHAnsi"/>
                <w:lang w:eastAsia="en-US"/>
              </w:rPr>
              <w:t>-</w:t>
            </w:r>
          </w:p>
        </w:tc>
      </w:tr>
      <w:tr w:rsidR="001706A0" w:rsidRPr="009E62EF" w:rsidTr="005C1200">
        <w:tc>
          <w:tcPr>
            <w:tcW w:w="1985" w:type="dxa"/>
          </w:tcPr>
          <w:p w:rsidR="009E62EF" w:rsidRPr="009E62EF" w:rsidRDefault="009D1EA9" w:rsidP="009D1EA9">
            <w:pPr>
              <w:contextualSpacing/>
              <w:rPr>
                <w:rFonts w:eastAsiaTheme="minorHAnsi"/>
                <w:lang w:eastAsia="en-US"/>
              </w:rPr>
            </w:pPr>
            <w:r>
              <w:rPr>
                <w:rFonts w:eastAsiaTheme="minorHAnsi"/>
                <w:lang w:eastAsia="en-US"/>
              </w:rPr>
              <w:t xml:space="preserve">Нарушения </w:t>
            </w:r>
            <w:r w:rsidR="00F60357">
              <w:rPr>
                <w:rFonts w:eastAsiaTheme="minorHAnsi"/>
                <w:lang w:eastAsia="en-US"/>
              </w:rPr>
              <w:t xml:space="preserve">со стороны </w:t>
            </w:r>
            <w:r>
              <w:rPr>
                <w:rFonts w:eastAsiaTheme="minorHAnsi"/>
                <w:lang w:eastAsia="en-US"/>
              </w:rPr>
              <w:t>ж</w:t>
            </w:r>
            <w:r w:rsidR="009E62EF" w:rsidRPr="009E62EF">
              <w:rPr>
                <w:rFonts w:eastAsiaTheme="minorHAnsi"/>
                <w:lang w:eastAsia="en-US"/>
              </w:rPr>
              <w:t>елудочно-кишечн</w:t>
            </w:r>
            <w:r>
              <w:rPr>
                <w:rFonts w:eastAsiaTheme="minorHAnsi"/>
                <w:lang w:eastAsia="en-US"/>
              </w:rPr>
              <w:t>ого тракта</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701"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запор, диарея, тошнота, рвота</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275"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985" w:type="dxa"/>
          </w:tcPr>
          <w:p w:rsidR="009E62EF" w:rsidRPr="009E62EF" w:rsidRDefault="00C5116E" w:rsidP="005C1200">
            <w:pPr>
              <w:contextualSpacing/>
              <w:jc w:val="center"/>
              <w:rPr>
                <w:rFonts w:eastAsiaTheme="minorHAnsi"/>
                <w:lang w:eastAsia="en-US"/>
              </w:rPr>
            </w:pPr>
            <w:r>
              <w:rPr>
                <w:rFonts w:eastAsiaTheme="minorHAnsi"/>
                <w:lang w:eastAsia="en-US"/>
              </w:rPr>
              <w:t>сухость  во рту</w:t>
            </w:r>
          </w:p>
        </w:tc>
      </w:tr>
      <w:tr w:rsidR="001706A0" w:rsidRPr="009E62EF" w:rsidTr="005C1200">
        <w:tc>
          <w:tcPr>
            <w:tcW w:w="1985" w:type="dxa"/>
          </w:tcPr>
          <w:p w:rsidR="009E62EF" w:rsidRPr="009E62EF" w:rsidRDefault="009E62EF" w:rsidP="009E62EF">
            <w:pPr>
              <w:contextualSpacing/>
              <w:rPr>
                <w:rFonts w:eastAsiaTheme="minorHAnsi"/>
                <w:lang w:eastAsia="en-US"/>
              </w:rPr>
            </w:pPr>
            <w:r w:rsidRPr="009E62EF">
              <w:rPr>
                <w:rFonts w:eastAsiaTheme="minorHAnsi"/>
                <w:lang w:eastAsia="en-US"/>
              </w:rPr>
              <w:t>Нарушения со стороны кожи и подкожных тканей</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701"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сыпь, зуд, крапивница</w:t>
            </w:r>
          </w:p>
        </w:tc>
        <w:tc>
          <w:tcPr>
            <w:tcW w:w="1276" w:type="dxa"/>
          </w:tcPr>
          <w:p w:rsidR="009E62EF" w:rsidRPr="009E62EF" w:rsidRDefault="009E62EF" w:rsidP="005C1200">
            <w:pPr>
              <w:contextualSpacing/>
              <w:jc w:val="center"/>
              <w:rPr>
                <w:rFonts w:eastAsiaTheme="minorHAnsi"/>
                <w:lang w:eastAsia="en-US"/>
              </w:rPr>
            </w:pPr>
            <w:proofErr w:type="spellStart"/>
            <w:r w:rsidRPr="009E62EF">
              <w:rPr>
                <w:rFonts w:eastAsiaTheme="minorHAnsi"/>
                <w:lang w:eastAsia="en-US"/>
              </w:rPr>
              <w:t>ангионев</w:t>
            </w:r>
            <w:proofErr w:type="spellEnd"/>
            <w:r w:rsidR="005C1200">
              <w:rPr>
                <w:rFonts w:eastAsiaTheme="minorHAnsi"/>
                <w:lang w:eastAsia="en-US"/>
              </w:rPr>
              <w:t>-</w:t>
            </w:r>
            <w:proofErr w:type="spellStart"/>
            <w:r w:rsidRPr="009E62EF">
              <w:rPr>
                <w:rFonts w:eastAsiaTheme="minorHAnsi"/>
                <w:lang w:eastAsia="en-US"/>
              </w:rPr>
              <w:t>ротичес</w:t>
            </w:r>
            <w:proofErr w:type="spellEnd"/>
            <w:r w:rsidR="005C1200">
              <w:rPr>
                <w:rFonts w:eastAsiaTheme="minorHAnsi"/>
                <w:lang w:eastAsia="en-US"/>
              </w:rPr>
              <w:t>-</w:t>
            </w:r>
            <w:r w:rsidRPr="009E62EF">
              <w:rPr>
                <w:rFonts w:eastAsiaTheme="minorHAnsi"/>
                <w:lang w:eastAsia="en-US"/>
              </w:rPr>
              <w:t>кий отек</w:t>
            </w:r>
          </w:p>
        </w:tc>
        <w:tc>
          <w:tcPr>
            <w:tcW w:w="1275" w:type="dxa"/>
          </w:tcPr>
          <w:p w:rsidR="009E62EF" w:rsidRPr="009E62EF" w:rsidRDefault="00536659" w:rsidP="005C1200">
            <w:pPr>
              <w:contextualSpacing/>
              <w:jc w:val="center"/>
              <w:rPr>
                <w:rFonts w:eastAsiaTheme="minorHAnsi"/>
                <w:lang w:eastAsia="en-US"/>
              </w:rPr>
            </w:pPr>
            <w:r>
              <w:rPr>
                <w:rFonts w:eastAsiaTheme="minorHAnsi"/>
                <w:lang w:eastAsia="en-US"/>
              </w:rPr>
              <w:t xml:space="preserve">синдром </w:t>
            </w:r>
            <w:proofErr w:type="spellStart"/>
            <w:r>
              <w:rPr>
                <w:rFonts w:eastAsiaTheme="minorHAnsi"/>
                <w:lang w:eastAsia="en-US"/>
              </w:rPr>
              <w:t>Стивенс</w:t>
            </w:r>
            <w:r w:rsidR="001706A0">
              <w:rPr>
                <w:rFonts w:eastAsiaTheme="minorHAnsi"/>
                <w:lang w:eastAsia="en-US"/>
              </w:rPr>
              <w:t>а</w:t>
            </w:r>
            <w:proofErr w:type="spellEnd"/>
            <w:r w:rsidR="001706A0">
              <w:rPr>
                <w:rFonts w:eastAsiaTheme="minorHAnsi"/>
                <w:lang w:eastAsia="en-US"/>
              </w:rPr>
              <w:t>-</w:t>
            </w:r>
            <w:r>
              <w:rPr>
                <w:rFonts w:eastAsiaTheme="minorHAnsi"/>
                <w:lang w:eastAsia="en-US"/>
              </w:rPr>
              <w:t>Джонсона</w:t>
            </w:r>
          </w:p>
        </w:tc>
        <w:tc>
          <w:tcPr>
            <w:tcW w:w="1985" w:type="dxa"/>
          </w:tcPr>
          <w:p w:rsidR="009E62EF" w:rsidRPr="009E62EF" w:rsidRDefault="00C5116E" w:rsidP="005C1200">
            <w:pPr>
              <w:contextualSpacing/>
              <w:jc w:val="center"/>
              <w:rPr>
                <w:rFonts w:eastAsiaTheme="minorHAnsi"/>
                <w:lang w:eastAsia="en-US"/>
              </w:rPr>
            </w:pPr>
            <w:proofErr w:type="spellStart"/>
            <w:r>
              <w:rPr>
                <w:rFonts w:eastAsiaTheme="minorHAnsi"/>
                <w:lang w:eastAsia="en-US"/>
              </w:rPr>
              <w:t>м</w:t>
            </w:r>
            <w:r w:rsidR="001706A0">
              <w:rPr>
                <w:rFonts w:eastAsiaTheme="minorHAnsi"/>
                <w:lang w:eastAsia="en-US"/>
              </w:rPr>
              <w:t>ногоформная</w:t>
            </w:r>
            <w:proofErr w:type="spellEnd"/>
            <w:r w:rsidR="001706A0">
              <w:rPr>
                <w:rFonts w:eastAsiaTheme="minorHAnsi"/>
                <w:lang w:eastAsia="en-US"/>
              </w:rPr>
              <w:t xml:space="preserve"> эритема, </w:t>
            </w:r>
            <w:proofErr w:type="spellStart"/>
            <w:r w:rsidR="001706A0">
              <w:rPr>
                <w:rFonts w:eastAsiaTheme="minorHAnsi"/>
                <w:lang w:eastAsia="en-US"/>
              </w:rPr>
              <w:t>эксфолиативный</w:t>
            </w:r>
            <w:proofErr w:type="spellEnd"/>
            <w:r w:rsidR="001706A0">
              <w:rPr>
                <w:rFonts w:eastAsiaTheme="minorHAnsi"/>
                <w:lang w:eastAsia="en-US"/>
              </w:rPr>
              <w:t xml:space="preserve"> отек</w:t>
            </w:r>
          </w:p>
        </w:tc>
      </w:tr>
      <w:tr w:rsidR="001706A0" w:rsidRPr="009E62EF" w:rsidTr="005C1200">
        <w:tc>
          <w:tcPr>
            <w:tcW w:w="1985" w:type="dxa"/>
          </w:tcPr>
          <w:p w:rsidR="009E62EF" w:rsidRPr="009E62EF" w:rsidRDefault="009E62EF" w:rsidP="00DB63D7">
            <w:pPr>
              <w:contextualSpacing/>
              <w:rPr>
                <w:rFonts w:eastAsiaTheme="minorHAnsi"/>
                <w:lang w:eastAsia="en-US"/>
              </w:rPr>
            </w:pPr>
            <w:r w:rsidRPr="009E62EF">
              <w:rPr>
                <w:rFonts w:eastAsiaTheme="minorHAnsi"/>
                <w:lang w:eastAsia="en-US"/>
              </w:rPr>
              <w:t xml:space="preserve">Нарушения со стороны </w:t>
            </w:r>
            <w:r w:rsidR="00DB63D7">
              <w:rPr>
                <w:rFonts w:eastAsiaTheme="minorHAnsi"/>
                <w:lang w:eastAsia="en-US"/>
              </w:rPr>
              <w:t>половых органов и молочной</w:t>
            </w:r>
            <w:r w:rsidRPr="009E62EF">
              <w:rPr>
                <w:rFonts w:eastAsiaTheme="minorHAnsi"/>
                <w:lang w:eastAsia="en-US"/>
              </w:rPr>
              <w:t xml:space="preserve"> желез</w:t>
            </w:r>
            <w:r w:rsidR="00DB63D7">
              <w:rPr>
                <w:rFonts w:eastAsiaTheme="minorHAnsi"/>
                <w:lang w:eastAsia="en-US"/>
              </w:rPr>
              <w:t>ы</w:t>
            </w:r>
          </w:p>
        </w:tc>
        <w:tc>
          <w:tcPr>
            <w:tcW w:w="1276" w:type="dxa"/>
          </w:tcPr>
          <w:p w:rsidR="009E62EF" w:rsidRPr="009E62EF" w:rsidRDefault="00DB63D7" w:rsidP="005C1200">
            <w:pPr>
              <w:contextualSpacing/>
              <w:jc w:val="center"/>
              <w:rPr>
                <w:rFonts w:eastAsiaTheme="minorHAnsi"/>
                <w:lang w:eastAsia="en-US"/>
              </w:rPr>
            </w:pPr>
            <w:proofErr w:type="spellStart"/>
            <w:r w:rsidRPr="00DB63D7">
              <w:rPr>
                <w:rFonts w:eastAsiaTheme="minorHAnsi"/>
                <w:lang w:eastAsia="en-US"/>
              </w:rPr>
              <w:t>наруше</w:t>
            </w:r>
            <w:r w:rsidR="0010586E">
              <w:rPr>
                <w:rFonts w:eastAsiaTheme="minorHAnsi"/>
                <w:lang w:eastAsia="en-US"/>
              </w:rPr>
              <w:t>-</w:t>
            </w:r>
            <w:r w:rsidRPr="00DB63D7">
              <w:rPr>
                <w:rFonts w:eastAsiaTheme="minorHAnsi"/>
                <w:lang w:eastAsia="en-US"/>
              </w:rPr>
              <w:t>ни</w:t>
            </w:r>
            <w:r w:rsidR="00B33EED">
              <w:rPr>
                <w:rFonts w:eastAsiaTheme="minorHAnsi"/>
                <w:lang w:eastAsia="en-US"/>
              </w:rPr>
              <w:t>е</w:t>
            </w:r>
            <w:proofErr w:type="spellEnd"/>
            <w:r w:rsidRPr="00DB63D7">
              <w:rPr>
                <w:rFonts w:eastAsiaTheme="minorHAnsi"/>
                <w:lang w:eastAsia="en-US"/>
              </w:rPr>
              <w:t xml:space="preserve"> </w:t>
            </w:r>
            <w:proofErr w:type="spellStart"/>
            <w:r w:rsidRPr="00DB63D7">
              <w:rPr>
                <w:rFonts w:eastAsiaTheme="minorHAnsi"/>
                <w:lang w:eastAsia="en-US"/>
              </w:rPr>
              <w:t>эякуля</w:t>
            </w:r>
            <w:r w:rsidR="0010586E">
              <w:rPr>
                <w:rFonts w:eastAsiaTheme="minorHAnsi"/>
                <w:lang w:eastAsia="en-US"/>
              </w:rPr>
              <w:t>-</w:t>
            </w:r>
            <w:r w:rsidRPr="00DB63D7">
              <w:rPr>
                <w:rFonts w:eastAsiaTheme="minorHAnsi"/>
                <w:lang w:eastAsia="en-US"/>
              </w:rPr>
              <w:t>ции</w:t>
            </w:r>
            <w:proofErr w:type="spellEnd"/>
          </w:p>
        </w:tc>
        <w:tc>
          <w:tcPr>
            <w:tcW w:w="1701" w:type="dxa"/>
          </w:tcPr>
          <w:p w:rsidR="009E62EF" w:rsidRPr="009E62EF" w:rsidRDefault="00DB63D7" w:rsidP="005C1200">
            <w:pPr>
              <w:contextualSpacing/>
              <w:jc w:val="center"/>
              <w:rPr>
                <w:rFonts w:eastAsiaTheme="minorHAnsi"/>
                <w:lang w:eastAsia="en-US"/>
              </w:rPr>
            </w:pPr>
            <w:r>
              <w:rPr>
                <w:rFonts w:eastAsiaTheme="minorHAnsi"/>
                <w:lang w:eastAsia="en-US"/>
              </w:rPr>
              <w:t>-</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275" w:type="dxa"/>
          </w:tcPr>
          <w:p w:rsidR="009E62EF" w:rsidRPr="009E62EF" w:rsidRDefault="009E62EF" w:rsidP="005C1200">
            <w:pPr>
              <w:contextualSpacing/>
              <w:jc w:val="center"/>
              <w:rPr>
                <w:rFonts w:eastAsiaTheme="minorHAnsi"/>
                <w:lang w:eastAsia="en-US"/>
              </w:rPr>
            </w:pPr>
            <w:proofErr w:type="spellStart"/>
            <w:r w:rsidRPr="009E62EF">
              <w:rPr>
                <w:rFonts w:eastAsiaTheme="minorHAnsi"/>
                <w:lang w:eastAsia="en-US"/>
              </w:rPr>
              <w:t>приапизм</w:t>
            </w:r>
            <w:proofErr w:type="spellEnd"/>
          </w:p>
        </w:tc>
        <w:tc>
          <w:tcPr>
            <w:tcW w:w="1985" w:type="dxa"/>
          </w:tcPr>
          <w:p w:rsidR="009E62EF" w:rsidRPr="009E62EF" w:rsidRDefault="00DB63D7" w:rsidP="005C1200">
            <w:pPr>
              <w:contextualSpacing/>
              <w:jc w:val="center"/>
              <w:rPr>
                <w:rFonts w:eastAsiaTheme="minorHAnsi"/>
                <w:lang w:eastAsia="en-US"/>
              </w:rPr>
            </w:pPr>
            <w:r>
              <w:rPr>
                <w:rFonts w:eastAsiaTheme="minorHAnsi"/>
                <w:lang w:eastAsia="en-US"/>
              </w:rPr>
              <w:t>отсутствие семяизвержения</w:t>
            </w:r>
          </w:p>
        </w:tc>
      </w:tr>
      <w:tr w:rsidR="003841CE" w:rsidRPr="009E62EF" w:rsidTr="005C1200">
        <w:tc>
          <w:tcPr>
            <w:tcW w:w="1985" w:type="dxa"/>
          </w:tcPr>
          <w:p w:rsidR="003841CE" w:rsidRPr="009E62EF" w:rsidRDefault="003841CE" w:rsidP="00493E21">
            <w:pPr>
              <w:contextualSpacing/>
              <w:rPr>
                <w:rFonts w:eastAsiaTheme="minorHAnsi"/>
                <w:lang w:eastAsia="en-US"/>
              </w:rPr>
            </w:pPr>
            <w:r>
              <w:rPr>
                <w:rFonts w:eastAsiaTheme="minorHAnsi"/>
                <w:lang w:eastAsia="en-US"/>
              </w:rPr>
              <w:lastRenderedPageBreak/>
              <w:t>Нарушени</w:t>
            </w:r>
            <w:r w:rsidR="00493E21">
              <w:rPr>
                <w:rFonts w:eastAsiaTheme="minorHAnsi"/>
                <w:lang w:eastAsia="en-US"/>
              </w:rPr>
              <w:t>я</w:t>
            </w:r>
            <w:r>
              <w:rPr>
                <w:rFonts w:eastAsiaTheme="minorHAnsi"/>
                <w:lang w:eastAsia="en-US"/>
              </w:rPr>
              <w:t xml:space="preserve"> со стороны органа зрения</w:t>
            </w:r>
          </w:p>
        </w:tc>
        <w:tc>
          <w:tcPr>
            <w:tcW w:w="1276" w:type="dxa"/>
          </w:tcPr>
          <w:p w:rsidR="003841CE" w:rsidRPr="00DB63D7" w:rsidRDefault="003841CE" w:rsidP="005C1200">
            <w:pPr>
              <w:contextualSpacing/>
              <w:jc w:val="center"/>
              <w:rPr>
                <w:rFonts w:eastAsiaTheme="minorHAnsi"/>
                <w:lang w:eastAsia="en-US"/>
              </w:rPr>
            </w:pPr>
            <w:r>
              <w:rPr>
                <w:rFonts w:eastAsiaTheme="minorHAnsi"/>
                <w:lang w:eastAsia="en-US"/>
              </w:rPr>
              <w:t>-</w:t>
            </w:r>
          </w:p>
        </w:tc>
        <w:tc>
          <w:tcPr>
            <w:tcW w:w="1701" w:type="dxa"/>
          </w:tcPr>
          <w:p w:rsidR="003841CE" w:rsidRDefault="003841CE" w:rsidP="005C1200">
            <w:pPr>
              <w:contextualSpacing/>
              <w:jc w:val="center"/>
              <w:rPr>
                <w:rFonts w:eastAsiaTheme="minorHAnsi"/>
                <w:lang w:eastAsia="en-US"/>
              </w:rPr>
            </w:pPr>
            <w:r>
              <w:rPr>
                <w:rFonts w:eastAsiaTheme="minorHAnsi"/>
                <w:lang w:eastAsia="en-US"/>
              </w:rPr>
              <w:t>-</w:t>
            </w:r>
          </w:p>
        </w:tc>
        <w:tc>
          <w:tcPr>
            <w:tcW w:w="1276" w:type="dxa"/>
          </w:tcPr>
          <w:p w:rsidR="003841CE" w:rsidRPr="009E62EF" w:rsidRDefault="003841CE" w:rsidP="005C1200">
            <w:pPr>
              <w:contextualSpacing/>
              <w:jc w:val="center"/>
              <w:rPr>
                <w:rFonts w:eastAsiaTheme="minorHAnsi"/>
                <w:lang w:eastAsia="en-US"/>
              </w:rPr>
            </w:pPr>
            <w:r>
              <w:rPr>
                <w:rFonts w:eastAsiaTheme="minorHAnsi"/>
                <w:lang w:eastAsia="en-US"/>
              </w:rPr>
              <w:t>-</w:t>
            </w:r>
          </w:p>
        </w:tc>
        <w:tc>
          <w:tcPr>
            <w:tcW w:w="1275" w:type="dxa"/>
          </w:tcPr>
          <w:p w:rsidR="003841CE" w:rsidRPr="009E62EF" w:rsidRDefault="003841CE" w:rsidP="005C1200">
            <w:pPr>
              <w:contextualSpacing/>
              <w:jc w:val="center"/>
              <w:rPr>
                <w:rFonts w:eastAsiaTheme="minorHAnsi"/>
                <w:lang w:eastAsia="en-US"/>
              </w:rPr>
            </w:pPr>
            <w:r>
              <w:rPr>
                <w:rFonts w:eastAsiaTheme="minorHAnsi"/>
                <w:lang w:eastAsia="en-US"/>
              </w:rPr>
              <w:t>-</w:t>
            </w:r>
          </w:p>
        </w:tc>
        <w:tc>
          <w:tcPr>
            <w:tcW w:w="1985" w:type="dxa"/>
          </w:tcPr>
          <w:p w:rsidR="003841CE" w:rsidRDefault="003841CE" w:rsidP="005C1200">
            <w:pPr>
              <w:contextualSpacing/>
              <w:jc w:val="center"/>
              <w:rPr>
                <w:rFonts w:eastAsiaTheme="minorHAnsi"/>
                <w:lang w:eastAsia="en-US"/>
              </w:rPr>
            </w:pPr>
            <w:r>
              <w:rPr>
                <w:rFonts w:eastAsiaTheme="minorHAnsi"/>
                <w:lang w:eastAsia="en-US"/>
              </w:rPr>
              <w:t>нечеткость, ухудшение зрения</w:t>
            </w:r>
          </w:p>
        </w:tc>
      </w:tr>
      <w:tr w:rsidR="001706A0" w:rsidRPr="009E62EF" w:rsidTr="005C1200">
        <w:tc>
          <w:tcPr>
            <w:tcW w:w="1985" w:type="dxa"/>
          </w:tcPr>
          <w:p w:rsidR="00DB63D7" w:rsidRPr="009E62EF" w:rsidRDefault="009E62EF" w:rsidP="005C1200">
            <w:pPr>
              <w:contextualSpacing/>
              <w:rPr>
                <w:rFonts w:eastAsiaTheme="minorHAnsi"/>
                <w:lang w:eastAsia="en-US"/>
              </w:rPr>
            </w:pPr>
            <w:r w:rsidRPr="009E62EF">
              <w:rPr>
                <w:rFonts w:eastAsiaTheme="minorHAnsi"/>
                <w:lang w:eastAsia="en-US"/>
              </w:rPr>
              <w:t>Общие нарушения и реакции в месте введения</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701"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астения</w:t>
            </w:r>
          </w:p>
        </w:tc>
        <w:tc>
          <w:tcPr>
            <w:tcW w:w="1276"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275" w:type="dxa"/>
          </w:tcPr>
          <w:p w:rsidR="009E62EF" w:rsidRPr="009E62EF" w:rsidRDefault="009E62EF" w:rsidP="005C1200">
            <w:pPr>
              <w:contextualSpacing/>
              <w:jc w:val="center"/>
              <w:rPr>
                <w:rFonts w:eastAsiaTheme="minorHAnsi"/>
                <w:lang w:eastAsia="en-US"/>
              </w:rPr>
            </w:pPr>
            <w:r w:rsidRPr="009E62EF">
              <w:rPr>
                <w:rFonts w:eastAsiaTheme="minorHAnsi"/>
                <w:lang w:eastAsia="en-US"/>
              </w:rPr>
              <w:t>-</w:t>
            </w:r>
          </w:p>
        </w:tc>
        <w:tc>
          <w:tcPr>
            <w:tcW w:w="1985" w:type="dxa"/>
          </w:tcPr>
          <w:p w:rsidR="009E62EF" w:rsidRPr="009E62EF" w:rsidRDefault="00DB63D7" w:rsidP="005C1200">
            <w:pPr>
              <w:contextualSpacing/>
              <w:jc w:val="center"/>
              <w:rPr>
                <w:rFonts w:eastAsiaTheme="minorHAnsi"/>
                <w:lang w:eastAsia="en-US"/>
              </w:rPr>
            </w:pPr>
            <w:r>
              <w:rPr>
                <w:rFonts w:eastAsiaTheme="minorHAnsi"/>
                <w:lang w:eastAsia="en-US"/>
              </w:rPr>
              <w:t>-</w:t>
            </w:r>
          </w:p>
        </w:tc>
      </w:tr>
    </w:tbl>
    <w:p w:rsidR="00B313CB" w:rsidRDefault="00B313CB" w:rsidP="00B313CB">
      <w:pPr>
        <w:jc w:val="both"/>
      </w:pPr>
      <w:r w:rsidRPr="008B10EB">
        <w:t xml:space="preserve">Описаны случаи </w:t>
      </w:r>
      <w:proofErr w:type="spellStart"/>
      <w:r w:rsidRPr="008B10EB">
        <w:t>интраоперационной</w:t>
      </w:r>
      <w:proofErr w:type="spellEnd"/>
      <w:r w:rsidRPr="008B10EB">
        <w:t xml:space="preserve"> нестабильности радужной оболочки глаза (синдром узкого зрачка) при операции по поводу катаракты</w:t>
      </w:r>
      <w:r w:rsidR="00194101">
        <w:t xml:space="preserve"> и глаукомы у пациентов</w:t>
      </w:r>
      <w:r w:rsidRPr="008B10EB">
        <w:t xml:space="preserve">, </w:t>
      </w:r>
      <w:r w:rsidR="00194101">
        <w:t xml:space="preserve">принимавших </w:t>
      </w:r>
      <w:proofErr w:type="spellStart"/>
      <w:r w:rsidR="00194101">
        <w:t>тамсулозин</w:t>
      </w:r>
      <w:proofErr w:type="spellEnd"/>
      <w:r w:rsidRPr="008B10EB">
        <w:t>.</w:t>
      </w:r>
    </w:p>
    <w:p w:rsidR="00C22299" w:rsidRDefault="00C22299" w:rsidP="00B313CB">
      <w:pPr>
        <w:jc w:val="both"/>
        <w:rPr>
          <w:i/>
        </w:rPr>
      </w:pPr>
      <w:r w:rsidRPr="00AB18F0">
        <w:rPr>
          <w:i/>
        </w:rPr>
        <w:t>Пострегистрационное применение препарата</w:t>
      </w:r>
    </w:p>
    <w:p w:rsidR="00C22299" w:rsidRPr="00C22299" w:rsidRDefault="00C22299" w:rsidP="00B313CB">
      <w:pPr>
        <w:jc w:val="both"/>
      </w:pPr>
      <w:r>
        <w:t xml:space="preserve">В дополнение к побочным эффектам, описанным выше, при применении </w:t>
      </w:r>
      <w:proofErr w:type="spellStart"/>
      <w:r>
        <w:t>тамсулозина</w:t>
      </w:r>
      <w:proofErr w:type="spellEnd"/>
      <w:r>
        <w:t xml:space="preserve"> наблюдались фибрилляция предсердий, аритмия, тахикардия и одышка. В связи с тем, что данные были получены методом спонтанных сообщений в период после регистрации, определение частоты и причинно-следственной связи этих явлений с приемом тамсулозина представляется затруднительным.</w:t>
      </w:r>
    </w:p>
    <w:p w:rsidR="00B313CB" w:rsidRPr="00CC409D" w:rsidRDefault="00B313CB" w:rsidP="00B313CB">
      <w:pPr>
        <w:jc w:val="both"/>
      </w:pPr>
    </w:p>
    <w:p w:rsidR="00B313CB" w:rsidRPr="00D92F42" w:rsidRDefault="00B313CB" w:rsidP="00B313CB">
      <w:pPr>
        <w:pStyle w:val="2"/>
        <w:spacing w:before="0" w:after="0"/>
        <w:rPr>
          <w:rFonts w:ascii="Times New Roman" w:hAnsi="Times New Roman" w:cs="Times New Roman"/>
          <w:i w:val="0"/>
          <w:sz w:val="24"/>
          <w:szCs w:val="24"/>
        </w:rPr>
      </w:pPr>
      <w:bookmarkStart w:id="1" w:name="08"/>
      <w:bookmarkStart w:id="2" w:name="09"/>
      <w:bookmarkStart w:id="3" w:name="10"/>
      <w:bookmarkEnd w:id="1"/>
      <w:bookmarkEnd w:id="2"/>
      <w:bookmarkEnd w:id="3"/>
      <w:r w:rsidRPr="00D92F42">
        <w:rPr>
          <w:rFonts w:ascii="Times New Roman" w:hAnsi="Times New Roman" w:cs="Times New Roman"/>
          <w:i w:val="0"/>
          <w:sz w:val="24"/>
          <w:szCs w:val="24"/>
        </w:rPr>
        <w:t>Передозировка</w:t>
      </w:r>
    </w:p>
    <w:p w:rsidR="00B313CB" w:rsidRPr="00D92F42" w:rsidRDefault="00B313CB" w:rsidP="00B313CB">
      <w:pPr>
        <w:jc w:val="both"/>
      </w:pPr>
      <w:r>
        <w:rPr>
          <w:i/>
          <w:iCs/>
        </w:rPr>
        <w:t>С</w:t>
      </w:r>
      <w:r w:rsidRPr="00D92F42">
        <w:rPr>
          <w:i/>
          <w:iCs/>
        </w:rPr>
        <w:t>имптомы</w:t>
      </w:r>
    </w:p>
    <w:p w:rsidR="00B313CB" w:rsidRPr="00D92F42" w:rsidRDefault="00B313CB" w:rsidP="00B313CB">
      <w:pPr>
        <w:jc w:val="both"/>
      </w:pPr>
      <w:r>
        <w:t>С</w:t>
      </w:r>
      <w:r w:rsidRPr="00D92F42">
        <w:t xml:space="preserve">нижение </w:t>
      </w:r>
      <w:r>
        <w:t>артериального давления,</w:t>
      </w:r>
      <w:r w:rsidRPr="00D92F42">
        <w:t xml:space="preserve"> компенсаторная тахикардия.</w:t>
      </w:r>
    </w:p>
    <w:p w:rsidR="00AF26EE" w:rsidRDefault="00B313CB" w:rsidP="00B313CB">
      <w:pPr>
        <w:jc w:val="both"/>
        <w:rPr>
          <w:i/>
          <w:iCs/>
        </w:rPr>
      </w:pPr>
      <w:r w:rsidRPr="00D92F42">
        <w:rPr>
          <w:i/>
          <w:iCs/>
        </w:rPr>
        <w:t>Лечение</w:t>
      </w:r>
    </w:p>
    <w:p w:rsidR="00B313CB" w:rsidRDefault="00B313CB" w:rsidP="00AF26EE">
      <w:pPr>
        <w:jc w:val="both"/>
      </w:pPr>
      <w:r w:rsidRPr="00D92F42">
        <w:t>Симптоматическое. А</w:t>
      </w:r>
      <w:r>
        <w:t>Д</w:t>
      </w:r>
      <w:r w:rsidRPr="00D92F42">
        <w:t xml:space="preserve"> и частота сердечных сокращений могут восстановиться при принятии пациентом горизонтального положения. При отсутствии эффекта можно применить средства, увеличивающие объем циркулирующей крови, и, если необходимо, сосудосуживающие средства. Необходимо контролировать функцию почек. Проведение гемодиализа нецелесообразно, так как </w:t>
      </w:r>
      <w:proofErr w:type="spellStart"/>
      <w:r w:rsidRPr="00D92F42">
        <w:t>тамсулозин</w:t>
      </w:r>
      <w:proofErr w:type="spellEnd"/>
      <w:r w:rsidRPr="00D92F42">
        <w:t xml:space="preserve"> в значительной степени связывается с белками плазмы крови. </w:t>
      </w:r>
    </w:p>
    <w:p w:rsidR="00B313CB" w:rsidRPr="00D92F42" w:rsidRDefault="00B313CB" w:rsidP="00B313CB">
      <w:pPr>
        <w:jc w:val="both"/>
      </w:pPr>
      <w:r w:rsidRPr="00D92F42">
        <w:t xml:space="preserve">Для предотвращения дальнейшего всасывания препарата целесообразно промывание желудка, прием </w:t>
      </w:r>
      <w:r>
        <w:t>сорбентов (</w:t>
      </w:r>
      <w:r w:rsidRPr="00D92F42">
        <w:t>активированного угля</w:t>
      </w:r>
      <w:r>
        <w:t>) и</w:t>
      </w:r>
      <w:r w:rsidRPr="00D92F42">
        <w:t xml:space="preserve"> осмотическ</w:t>
      </w:r>
      <w:r>
        <w:t>их слабительных.</w:t>
      </w:r>
    </w:p>
    <w:p w:rsidR="00B313CB" w:rsidRPr="00D92F42" w:rsidRDefault="00B313CB" w:rsidP="00B313CB">
      <w:pPr>
        <w:jc w:val="both"/>
      </w:pPr>
    </w:p>
    <w:p w:rsidR="00B313CB" w:rsidRPr="00D92F42" w:rsidRDefault="00B313CB" w:rsidP="00B313CB">
      <w:pPr>
        <w:jc w:val="both"/>
        <w:rPr>
          <w:b/>
        </w:rPr>
      </w:pPr>
      <w:r w:rsidRPr="00D92F42">
        <w:rPr>
          <w:b/>
        </w:rPr>
        <w:t xml:space="preserve">Взаимодействие с другими лекарственными </w:t>
      </w:r>
      <w:r w:rsidR="00A838DC">
        <w:rPr>
          <w:b/>
        </w:rPr>
        <w:t>средствами</w:t>
      </w:r>
    </w:p>
    <w:p w:rsidR="00B313CB" w:rsidRPr="00D92F42" w:rsidRDefault="00B313CB" w:rsidP="00B313CB">
      <w:pPr>
        <w:jc w:val="both"/>
      </w:pPr>
      <w:r w:rsidRPr="00D92F42">
        <w:t xml:space="preserve">При применении </w:t>
      </w:r>
      <w:proofErr w:type="spellStart"/>
      <w:r w:rsidRPr="00D92F42">
        <w:t>тамсулозина</w:t>
      </w:r>
      <w:proofErr w:type="spellEnd"/>
      <w:r w:rsidRPr="00D92F42">
        <w:t xml:space="preserve"> вместе с </w:t>
      </w:r>
      <w:proofErr w:type="spellStart"/>
      <w:r w:rsidRPr="00D92F42">
        <w:t>атенололом</w:t>
      </w:r>
      <w:proofErr w:type="spellEnd"/>
      <w:r w:rsidRPr="00D92F42">
        <w:t xml:space="preserve">, </w:t>
      </w:r>
      <w:proofErr w:type="spellStart"/>
      <w:r w:rsidRPr="00D92F42">
        <w:t>эналаприлом</w:t>
      </w:r>
      <w:proofErr w:type="spellEnd"/>
      <w:r w:rsidRPr="00D92F42">
        <w:t xml:space="preserve">, </w:t>
      </w:r>
      <w:proofErr w:type="spellStart"/>
      <w:r w:rsidRPr="00D92F42">
        <w:t>нифедипином</w:t>
      </w:r>
      <w:proofErr w:type="spellEnd"/>
      <w:r w:rsidRPr="00D92F42">
        <w:t xml:space="preserve"> и теофиллином лекарственного взаимодействия обнаружено не было.</w:t>
      </w:r>
    </w:p>
    <w:p w:rsidR="00B313CB" w:rsidRPr="00D92F42" w:rsidRDefault="00B313CB" w:rsidP="00B313CB">
      <w:pPr>
        <w:jc w:val="both"/>
      </w:pPr>
      <w:r w:rsidRPr="00D92F42">
        <w:t xml:space="preserve">При одновременном применении </w:t>
      </w:r>
      <w:proofErr w:type="spellStart"/>
      <w:r w:rsidRPr="00D92F42">
        <w:rPr>
          <w:rStyle w:val="a3"/>
          <w:b w:val="0"/>
          <w:iCs/>
        </w:rPr>
        <w:t>тамсулозина</w:t>
      </w:r>
      <w:proofErr w:type="spellEnd"/>
      <w:r w:rsidRPr="00D92F42">
        <w:rPr>
          <w:rStyle w:val="a3"/>
          <w:i/>
          <w:iCs/>
        </w:rPr>
        <w:t xml:space="preserve"> </w:t>
      </w:r>
      <w:r w:rsidRPr="00D92F42">
        <w:t xml:space="preserve">с </w:t>
      </w:r>
      <w:proofErr w:type="spellStart"/>
      <w:r w:rsidRPr="00D92F42">
        <w:t>циметидином</w:t>
      </w:r>
      <w:proofErr w:type="spellEnd"/>
      <w:r w:rsidRPr="00D92F42">
        <w:t xml:space="preserve"> отмечено некоторое повышение концентрации </w:t>
      </w:r>
      <w:proofErr w:type="spellStart"/>
      <w:r w:rsidRPr="00D92F42">
        <w:t>тамсулозина</w:t>
      </w:r>
      <w:proofErr w:type="spellEnd"/>
      <w:r w:rsidRPr="00D92F42">
        <w:t xml:space="preserve"> в плазме крови</w:t>
      </w:r>
      <w:r w:rsidR="000639F6">
        <w:t>;</w:t>
      </w:r>
      <w:r w:rsidRPr="00D92F42">
        <w:t xml:space="preserve"> с фуросемидом </w:t>
      </w:r>
      <w:r w:rsidRPr="00D92F42">
        <w:sym w:font="Symbol" w:char="F02D"/>
      </w:r>
      <w:r w:rsidRPr="00D92F42">
        <w:t xml:space="preserve"> снижение концентрации, однако это не требует коррекции дозы, так как концентрация </w:t>
      </w:r>
      <w:proofErr w:type="spellStart"/>
      <w:r w:rsidRPr="00D92F42">
        <w:t>тамсулозина</w:t>
      </w:r>
      <w:proofErr w:type="spellEnd"/>
      <w:r w:rsidRPr="00D92F42">
        <w:t xml:space="preserve"> остается в пределах нормального диапазона. </w:t>
      </w:r>
    </w:p>
    <w:p w:rsidR="00B313CB" w:rsidRPr="00D92F42" w:rsidRDefault="00B313CB" w:rsidP="00B313CB">
      <w:pPr>
        <w:jc w:val="both"/>
      </w:pPr>
      <w:proofErr w:type="spellStart"/>
      <w:r w:rsidRPr="00D92F42">
        <w:t>Диазепам</w:t>
      </w:r>
      <w:proofErr w:type="spellEnd"/>
      <w:r w:rsidRPr="00D92F42">
        <w:t xml:space="preserve">, </w:t>
      </w:r>
      <w:proofErr w:type="spellStart"/>
      <w:r w:rsidRPr="00D92F42">
        <w:t>пропранолол</w:t>
      </w:r>
      <w:proofErr w:type="spellEnd"/>
      <w:r w:rsidRPr="00D92F42">
        <w:t xml:space="preserve">, </w:t>
      </w:r>
      <w:proofErr w:type="spellStart"/>
      <w:r w:rsidRPr="00D92F42">
        <w:t>трихлорметиазид</w:t>
      </w:r>
      <w:proofErr w:type="spellEnd"/>
      <w:r w:rsidRPr="00D92F42">
        <w:t xml:space="preserve">, </w:t>
      </w:r>
      <w:proofErr w:type="spellStart"/>
      <w:r w:rsidRPr="00D92F42">
        <w:t>хлормадинон</w:t>
      </w:r>
      <w:proofErr w:type="spellEnd"/>
      <w:r w:rsidRPr="00D92F42">
        <w:t xml:space="preserve">, амитриптилин, </w:t>
      </w:r>
      <w:proofErr w:type="spellStart"/>
      <w:r w:rsidRPr="00D92F42">
        <w:t>диклофенак</w:t>
      </w:r>
      <w:proofErr w:type="spellEnd"/>
      <w:r w:rsidRPr="00D92F42">
        <w:t xml:space="preserve">, </w:t>
      </w:r>
      <w:proofErr w:type="spellStart"/>
      <w:r w:rsidRPr="00D92F42">
        <w:t>глибенкламид</w:t>
      </w:r>
      <w:proofErr w:type="spellEnd"/>
      <w:r w:rsidRPr="00D92F42">
        <w:t xml:space="preserve">, </w:t>
      </w:r>
      <w:proofErr w:type="spellStart"/>
      <w:r w:rsidRPr="00D92F42">
        <w:t>симвастатин</w:t>
      </w:r>
      <w:proofErr w:type="spellEnd"/>
      <w:r w:rsidRPr="00D92F42">
        <w:t xml:space="preserve"> и </w:t>
      </w:r>
      <w:proofErr w:type="spellStart"/>
      <w:r w:rsidRPr="00D92F42">
        <w:t>варфарин</w:t>
      </w:r>
      <w:proofErr w:type="spellEnd"/>
      <w:r w:rsidRPr="00D92F42">
        <w:t xml:space="preserve"> не изменяют свободную фракцию </w:t>
      </w:r>
      <w:proofErr w:type="spellStart"/>
      <w:r w:rsidRPr="00D92F42">
        <w:t>тамсулозина</w:t>
      </w:r>
      <w:proofErr w:type="spellEnd"/>
      <w:r w:rsidRPr="00D92F42">
        <w:t xml:space="preserve"> в плазме крови человека </w:t>
      </w:r>
      <w:proofErr w:type="spellStart"/>
      <w:r w:rsidRPr="00D92F42">
        <w:t>in</w:t>
      </w:r>
      <w:proofErr w:type="spellEnd"/>
      <w:r w:rsidRPr="00D92F42">
        <w:t xml:space="preserve"> </w:t>
      </w:r>
      <w:proofErr w:type="spellStart"/>
      <w:r w:rsidRPr="00D92F42">
        <w:t>vitro</w:t>
      </w:r>
      <w:proofErr w:type="spellEnd"/>
      <w:r w:rsidRPr="00D92F42">
        <w:t xml:space="preserve">. В свою очередь, </w:t>
      </w:r>
      <w:proofErr w:type="spellStart"/>
      <w:r w:rsidRPr="00D92F42">
        <w:t>тамсулозин</w:t>
      </w:r>
      <w:proofErr w:type="spellEnd"/>
      <w:r w:rsidRPr="00D92F42">
        <w:t xml:space="preserve"> также не изменяет свободные фракции </w:t>
      </w:r>
      <w:proofErr w:type="spellStart"/>
      <w:r w:rsidRPr="00D92F42">
        <w:t>диазепама</w:t>
      </w:r>
      <w:proofErr w:type="spellEnd"/>
      <w:r w:rsidRPr="00D92F42">
        <w:t xml:space="preserve">, </w:t>
      </w:r>
      <w:proofErr w:type="spellStart"/>
      <w:r w:rsidRPr="00D92F42">
        <w:t>пропранолола</w:t>
      </w:r>
      <w:proofErr w:type="spellEnd"/>
      <w:r w:rsidRPr="00D92F42">
        <w:t xml:space="preserve">, </w:t>
      </w:r>
      <w:proofErr w:type="spellStart"/>
      <w:r w:rsidRPr="00D92F42">
        <w:t>трихлорметиазида</w:t>
      </w:r>
      <w:proofErr w:type="spellEnd"/>
      <w:r w:rsidRPr="00D92F42">
        <w:t xml:space="preserve"> и </w:t>
      </w:r>
      <w:proofErr w:type="spellStart"/>
      <w:r w:rsidRPr="00D92F42">
        <w:t>хлормадинона</w:t>
      </w:r>
      <w:proofErr w:type="spellEnd"/>
      <w:r w:rsidRPr="00D92F42">
        <w:t>.</w:t>
      </w:r>
    </w:p>
    <w:p w:rsidR="00B313CB" w:rsidRDefault="00B313CB" w:rsidP="00B313CB">
      <w:pPr>
        <w:jc w:val="both"/>
      </w:pPr>
      <w:r w:rsidRPr="00D92F42">
        <w:t xml:space="preserve">В исследованиях </w:t>
      </w:r>
      <w:proofErr w:type="spellStart"/>
      <w:r w:rsidRPr="00D92F42">
        <w:t>in</w:t>
      </w:r>
      <w:proofErr w:type="spellEnd"/>
      <w:r w:rsidRPr="00D92F42">
        <w:t xml:space="preserve"> </w:t>
      </w:r>
      <w:proofErr w:type="spellStart"/>
      <w:r w:rsidRPr="00D92F42">
        <w:t>vitro</w:t>
      </w:r>
      <w:proofErr w:type="spellEnd"/>
      <w:r w:rsidRPr="00D92F42">
        <w:t xml:space="preserve"> не было обнаружено взаимодействия на уровне печеночного метаболизма с амитриптилином, </w:t>
      </w:r>
      <w:proofErr w:type="spellStart"/>
      <w:r w:rsidRPr="00D92F42">
        <w:t>сальбутамолом</w:t>
      </w:r>
      <w:proofErr w:type="spellEnd"/>
      <w:r w:rsidRPr="00D92F42">
        <w:t xml:space="preserve">, </w:t>
      </w:r>
      <w:proofErr w:type="spellStart"/>
      <w:r w:rsidRPr="00D92F42">
        <w:t>глибенкламидом</w:t>
      </w:r>
      <w:proofErr w:type="spellEnd"/>
      <w:r w:rsidRPr="00D92F42">
        <w:t xml:space="preserve"> и </w:t>
      </w:r>
      <w:proofErr w:type="spellStart"/>
      <w:r w:rsidRPr="00D92F42">
        <w:t>финастеридом</w:t>
      </w:r>
      <w:proofErr w:type="spellEnd"/>
      <w:r w:rsidRPr="00D92F42">
        <w:t>.</w:t>
      </w:r>
    </w:p>
    <w:p w:rsidR="000639F6" w:rsidRDefault="000639F6" w:rsidP="00B313CB">
      <w:pPr>
        <w:jc w:val="both"/>
      </w:pPr>
      <w:proofErr w:type="spellStart"/>
      <w:r>
        <w:t>Диклофенак</w:t>
      </w:r>
      <w:proofErr w:type="spellEnd"/>
      <w:r>
        <w:t xml:space="preserve"> и </w:t>
      </w:r>
      <w:proofErr w:type="spellStart"/>
      <w:r>
        <w:t>варфарин</w:t>
      </w:r>
      <w:proofErr w:type="spellEnd"/>
      <w:r>
        <w:t xml:space="preserve"> могут увеличивать скорость выведения </w:t>
      </w:r>
      <w:proofErr w:type="spellStart"/>
      <w:r>
        <w:t>тамсулозина</w:t>
      </w:r>
      <w:proofErr w:type="spellEnd"/>
      <w:r>
        <w:t>.</w:t>
      </w:r>
    </w:p>
    <w:p w:rsidR="00A838DC" w:rsidRPr="00A838DC" w:rsidRDefault="00A838DC" w:rsidP="00B313CB">
      <w:pPr>
        <w:jc w:val="both"/>
      </w:pPr>
      <w:r>
        <w:t xml:space="preserve">Одновременное применение </w:t>
      </w:r>
      <w:proofErr w:type="spellStart"/>
      <w:r>
        <w:t>тамсулозина</w:t>
      </w:r>
      <w:proofErr w:type="spellEnd"/>
      <w:r>
        <w:t xml:space="preserve"> с сильными ингибиторами изофермента </w:t>
      </w:r>
      <w:r>
        <w:rPr>
          <w:lang w:val="en-US"/>
        </w:rPr>
        <w:t>CYP</w:t>
      </w:r>
      <w:r>
        <w:t>3</w:t>
      </w:r>
      <w:r>
        <w:rPr>
          <w:lang w:val="en-US"/>
        </w:rPr>
        <w:t>A</w:t>
      </w:r>
      <w:r w:rsidRPr="00A838DC">
        <w:t>4</w:t>
      </w:r>
      <w:r>
        <w:t xml:space="preserve"> может привести к увеличению концентрации </w:t>
      </w:r>
      <w:proofErr w:type="spellStart"/>
      <w:r>
        <w:t>тамсулозина</w:t>
      </w:r>
      <w:proofErr w:type="spellEnd"/>
      <w:r>
        <w:t xml:space="preserve">. Одновременное применение с </w:t>
      </w:r>
      <w:proofErr w:type="spellStart"/>
      <w:r>
        <w:t>кетоконазолом</w:t>
      </w:r>
      <w:proofErr w:type="spellEnd"/>
      <w:r>
        <w:t xml:space="preserve"> (сильный ингибитор </w:t>
      </w:r>
      <w:r w:rsidRPr="00A838DC">
        <w:t xml:space="preserve">изофермента </w:t>
      </w:r>
      <w:r w:rsidRPr="00A838DC">
        <w:rPr>
          <w:lang w:val="en-US"/>
        </w:rPr>
        <w:t>CYP</w:t>
      </w:r>
      <w:r w:rsidRPr="00A838DC">
        <w:t>3</w:t>
      </w:r>
      <w:r w:rsidRPr="00A838DC">
        <w:rPr>
          <w:lang w:val="en-US"/>
        </w:rPr>
        <w:t>A</w:t>
      </w:r>
      <w:r w:rsidRPr="00A838DC">
        <w:t>4</w:t>
      </w:r>
      <w:r>
        <w:t>) приводило к увеличению площади под кривой «концентрация-время» (</w:t>
      </w:r>
      <w:r>
        <w:rPr>
          <w:lang w:val="en-US"/>
        </w:rPr>
        <w:t>AUC</w:t>
      </w:r>
      <w:r w:rsidRPr="00A838DC">
        <w:t>)</w:t>
      </w:r>
      <w:r>
        <w:t xml:space="preserve"> и максимальной концентрации (</w:t>
      </w:r>
      <w:r>
        <w:rPr>
          <w:lang w:val="en-US"/>
        </w:rPr>
        <w:t>C</w:t>
      </w:r>
      <w:r w:rsidRPr="00AB18F0">
        <w:rPr>
          <w:vertAlign w:val="subscript"/>
          <w:lang w:val="en-US"/>
        </w:rPr>
        <w:t>max</w:t>
      </w:r>
      <w:r w:rsidRPr="00AA1CC6">
        <w:t>)</w:t>
      </w:r>
      <w:r>
        <w:t xml:space="preserve"> </w:t>
      </w:r>
      <w:proofErr w:type="spellStart"/>
      <w:r>
        <w:t>тамсулозина</w:t>
      </w:r>
      <w:proofErr w:type="spellEnd"/>
      <w:r>
        <w:t xml:space="preserve"> в 2,8 и 2,2 раза соответственно. </w:t>
      </w:r>
      <w:proofErr w:type="spellStart"/>
      <w:r>
        <w:t>Тамсулозин</w:t>
      </w:r>
      <w:proofErr w:type="spellEnd"/>
      <w:r>
        <w:t xml:space="preserve"> не следует применять в к</w:t>
      </w:r>
      <w:r w:rsidR="007B200D">
        <w:t>о</w:t>
      </w:r>
      <w:r>
        <w:t xml:space="preserve">мбинации с активными ингибиторами </w:t>
      </w:r>
      <w:r w:rsidRPr="00A838DC">
        <w:t xml:space="preserve">изофермента </w:t>
      </w:r>
      <w:r w:rsidRPr="00A838DC">
        <w:rPr>
          <w:lang w:val="en-US"/>
        </w:rPr>
        <w:t>CYP</w:t>
      </w:r>
      <w:r w:rsidRPr="00A838DC">
        <w:t>3</w:t>
      </w:r>
      <w:r w:rsidRPr="00A838DC">
        <w:rPr>
          <w:lang w:val="en-US"/>
        </w:rPr>
        <w:t>A</w:t>
      </w:r>
      <w:r w:rsidRPr="00A838DC">
        <w:t>4</w:t>
      </w:r>
      <w:r>
        <w:t xml:space="preserve"> у пациентов с нарушением метаболизма изофермента </w:t>
      </w:r>
      <w:r w:rsidRPr="00A838DC">
        <w:rPr>
          <w:lang w:val="en-US"/>
        </w:rPr>
        <w:t>CYP</w:t>
      </w:r>
      <w:r>
        <w:t>2</w:t>
      </w:r>
      <w:r>
        <w:rPr>
          <w:lang w:val="en-US"/>
        </w:rPr>
        <w:t>D</w:t>
      </w:r>
      <w:r>
        <w:t xml:space="preserve">6. Препарат следует применять с </w:t>
      </w:r>
      <w:r>
        <w:lastRenderedPageBreak/>
        <w:t xml:space="preserve">осторожностью в комбинации с сильными и умеренными ингибиторами </w:t>
      </w:r>
      <w:r w:rsidRPr="00A838DC">
        <w:t xml:space="preserve">изофермента </w:t>
      </w:r>
      <w:r w:rsidRPr="00A838DC">
        <w:rPr>
          <w:lang w:val="en-US"/>
        </w:rPr>
        <w:t>CYP</w:t>
      </w:r>
      <w:r w:rsidRPr="00A838DC">
        <w:t>3</w:t>
      </w:r>
      <w:r w:rsidRPr="00A838DC">
        <w:rPr>
          <w:lang w:val="en-US"/>
        </w:rPr>
        <w:t>A</w:t>
      </w:r>
      <w:r w:rsidRPr="00A838DC">
        <w:t>4</w:t>
      </w:r>
      <w:r>
        <w:t xml:space="preserve">. Одновременное применение </w:t>
      </w:r>
      <w:proofErr w:type="spellStart"/>
      <w:r>
        <w:t>тамсулозина</w:t>
      </w:r>
      <w:proofErr w:type="spellEnd"/>
      <w:r>
        <w:t xml:space="preserve"> и </w:t>
      </w:r>
      <w:proofErr w:type="spellStart"/>
      <w:r>
        <w:t>пароксетина</w:t>
      </w:r>
      <w:proofErr w:type="spellEnd"/>
      <w:r>
        <w:t xml:space="preserve">, сильного ингибитора </w:t>
      </w:r>
      <w:r w:rsidRPr="00A838DC">
        <w:t xml:space="preserve">изофермента </w:t>
      </w:r>
      <w:r w:rsidRPr="00A838DC">
        <w:rPr>
          <w:lang w:val="en-US"/>
        </w:rPr>
        <w:t>CYP</w:t>
      </w:r>
      <w:r w:rsidRPr="00A838DC">
        <w:t>2</w:t>
      </w:r>
      <w:r w:rsidRPr="00A838DC">
        <w:rPr>
          <w:lang w:val="en-US"/>
        </w:rPr>
        <w:t>D</w:t>
      </w:r>
      <w:r w:rsidRPr="00A838DC">
        <w:t>6</w:t>
      </w:r>
      <w:r>
        <w:t xml:space="preserve">, приводило к увеличению </w:t>
      </w:r>
      <w:proofErr w:type="spellStart"/>
      <w:r w:rsidRPr="00A838DC">
        <w:rPr>
          <w:lang w:val="en-US"/>
        </w:rPr>
        <w:t>C</w:t>
      </w:r>
      <w:r w:rsidRPr="00AB18F0">
        <w:rPr>
          <w:vertAlign w:val="subscript"/>
          <w:lang w:val="en-US"/>
        </w:rPr>
        <w:t>max</w:t>
      </w:r>
      <w:proofErr w:type="spellEnd"/>
      <w:r>
        <w:t xml:space="preserve"> и </w:t>
      </w:r>
      <w:r w:rsidRPr="00A838DC">
        <w:rPr>
          <w:lang w:val="en-US"/>
        </w:rPr>
        <w:t>AUC</w:t>
      </w:r>
      <w:r>
        <w:t xml:space="preserve"> </w:t>
      </w:r>
      <w:proofErr w:type="spellStart"/>
      <w:r>
        <w:t>тамсулозина</w:t>
      </w:r>
      <w:proofErr w:type="spellEnd"/>
      <w:r>
        <w:t xml:space="preserve"> в 1,3 и 1,6 раза соответственно, однако данное увеличение признано клинически незначимым.</w:t>
      </w:r>
    </w:p>
    <w:p w:rsidR="00B313CB" w:rsidRPr="00D92F42" w:rsidRDefault="00B313CB" w:rsidP="00B313CB">
      <w:pPr>
        <w:jc w:val="both"/>
      </w:pPr>
      <w:r w:rsidRPr="00D92F42">
        <w:t>Одновреме</w:t>
      </w:r>
      <w:r w:rsidRPr="00135491">
        <w:t xml:space="preserve">нное </w:t>
      </w:r>
      <w:r w:rsidR="00A838DC" w:rsidRPr="00135491">
        <w:t>применение</w:t>
      </w:r>
      <w:r w:rsidR="00A838DC">
        <w:t xml:space="preserve"> </w:t>
      </w:r>
      <w:r>
        <w:t xml:space="preserve">других </w:t>
      </w:r>
      <w:r w:rsidR="000639F6">
        <w:t>блокаторов</w:t>
      </w:r>
      <w:r>
        <w:t xml:space="preserve"> </w:t>
      </w:r>
      <w:r w:rsidRPr="00D92F42">
        <w:t>α</w:t>
      </w:r>
      <w:r w:rsidRPr="00D92F42">
        <w:rPr>
          <w:vertAlign w:val="subscript"/>
        </w:rPr>
        <w:t>1</w:t>
      </w:r>
      <w:r w:rsidRPr="00D92F42">
        <w:t>-</w:t>
      </w:r>
      <w:r>
        <w:t>адренорецепторов может привести к гипотензивному эффекту.</w:t>
      </w:r>
    </w:p>
    <w:p w:rsidR="00B313CB" w:rsidRDefault="00B313CB" w:rsidP="00B313CB">
      <w:pPr>
        <w:pStyle w:val="2"/>
        <w:spacing w:before="0" w:after="0"/>
        <w:rPr>
          <w:rFonts w:ascii="Times New Roman" w:hAnsi="Times New Roman" w:cs="Times New Roman"/>
          <w:b w:val="0"/>
          <w:i w:val="0"/>
          <w:sz w:val="24"/>
          <w:szCs w:val="24"/>
        </w:rPr>
      </w:pPr>
      <w:bookmarkStart w:id="4" w:name="13"/>
      <w:bookmarkEnd w:id="4"/>
    </w:p>
    <w:p w:rsidR="00B313CB" w:rsidRPr="00D92F42" w:rsidRDefault="00B313CB" w:rsidP="00B313CB">
      <w:pPr>
        <w:pStyle w:val="2"/>
        <w:spacing w:before="0" w:after="0"/>
        <w:rPr>
          <w:rFonts w:ascii="Times New Roman" w:hAnsi="Times New Roman" w:cs="Times New Roman"/>
          <w:i w:val="0"/>
          <w:sz w:val="24"/>
          <w:szCs w:val="24"/>
        </w:rPr>
      </w:pPr>
      <w:r w:rsidRPr="00D92F42">
        <w:rPr>
          <w:rFonts w:ascii="Times New Roman" w:hAnsi="Times New Roman" w:cs="Times New Roman"/>
          <w:i w:val="0"/>
          <w:sz w:val="24"/>
          <w:szCs w:val="24"/>
        </w:rPr>
        <w:t>Особые указания</w:t>
      </w:r>
    </w:p>
    <w:p w:rsidR="00B313CB" w:rsidRDefault="00B313CB" w:rsidP="00B313CB">
      <w:pPr>
        <w:jc w:val="both"/>
      </w:pPr>
      <w:r w:rsidRPr="00D92F42">
        <w:rPr>
          <w:rStyle w:val="a3"/>
          <w:b w:val="0"/>
          <w:iCs/>
        </w:rPr>
        <w:t xml:space="preserve">Как и при </w:t>
      </w:r>
      <w:r>
        <w:rPr>
          <w:rStyle w:val="a3"/>
          <w:b w:val="0"/>
          <w:iCs/>
        </w:rPr>
        <w:t>применении</w:t>
      </w:r>
      <w:r w:rsidRPr="00D92F42">
        <w:rPr>
          <w:rStyle w:val="a3"/>
          <w:b w:val="0"/>
          <w:iCs/>
        </w:rPr>
        <w:t xml:space="preserve"> других </w:t>
      </w:r>
      <w:r w:rsidR="00BE5957">
        <w:t>альфа</w:t>
      </w:r>
      <w:r w:rsidRPr="00AB18F0">
        <w:t>1</w:t>
      </w:r>
      <w:r w:rsidRPr="00D92F42">
        <w:t>-адреноблокаторов, при лечении</w:t>
      </w:r>
      <w:r w:rsidRPr="00D92F42">
        <w:rPr>
          <w:rStyle w:val="a3"/>
          <w:b w:val="0"/>
          <w:iCs/>
        </w:rPr>
        <w:t xml:space="preserve"> </w:t>
      </w:r>
      <w:proofErr w:type="spellStart"/>
      <w:r w:rsidRPr="00D92F42">
        <w:rPr>
          <w:rStyle w:val="a3"/>
          <w:b w:val="0"/>
          <w:iCs/>
        </w:rPr>
        <w:t>тамсулозином</w:t>
      </w:r>
      <w:proofErr w:type="spellEnd"/>
      <w:r w:rsidRPr="00D92F42">
        <w:rPr>
          <w:rStyle w:val="a3"/>
          <w:b w:val="0"/>
          <w:iCs/>
        </w:rPr>
        <w:t xml:space="preserve"> в отдельных случаях может наблюдаться снижение </w:t>
      </w:r>
      <w:r>
        <w:rPr>
          <w:rStyle w:val="a3"/>
          <w:b w:val="0"/>
          <w:iCs/>
        </w:rPr>
        <w:t>АД</w:t>
      </w:r>
      <w:r w:rsidRPr="00D92F42">
        <w:rPr>
          <w:rStyle w:val="a3"/>
          <w:b w:val="0"/>
          <w:iCs/>
        </w:rPr>
        <w:t>, которое</w:t>
      </w:r>
      <w:r>
        <w:rPr>
          <w:rStyle w:val="a3"/>
          <w:b w:val="0"/>
          <w:iCs/>
        </w:rPr>
        <w:t xml:space="preserve">, в редких случаях, </w:t>
      </w:r>
      <w:r w:rsidRPr="00D92F42">
        <w:rPr>
          <w:rStyle w:val="a3"/>
          <w:b w:val="0"/>
          <w:iCs/>
        </w:rPr>
        <w:t xml:space="preserve">может приводить к обморочному состоянию. </w:t>
      </w:r>
      <w:r w:rsidRPr="00D92F42">
        <w:t>При первых признаках ортостатической гипотензии (головокружение, слабость) пациент должен сесть или лечь и оставаться в этом положении до тех пор, пока признаки не исчезнут.</w:t>
      </w:r>
    </w:p>
    <w:p w:rsidR="00B313CB" w:rsidRDefault="00B313CB" w:rsidP="00B313CB">
      <w:pPr>
        <w:jc w:val="both"/>
      </w:pPr>
      <w:r>
        <w:t>Синдром отмены отсутствует.</w:t>
      </w:r>
    </w:p>
    <w:p w:rsidR="00C93DD3" w:rsidRDefault="006A3E1F" w:rsidP="00B313CB">
      <w:pPr>
        <w:jc w:val="both"/>
      </w:pPr>
      <w:r>
        <w:t xml:space="preserve">У некоторых пациентов, принимающих или ранее принимавших </w:t>
      </w:r>
      <w:proofErr w:type="spellStart"/>
      <w:r>
        <w:t>тамсулозин</w:t>
      </w:r>
      <w:proofErr w:type="spellEnd"/>
      <w:r>
        <w:t xml:space="preserve">, во время </w:t>
      </w:r>
      <w:r w:rsidR="00B313CB">
        <w:t>оперативн</w:t>
      </w:r>
      <w:r>
        <w:t>ого</w:t>
      </w:r>
      <w:r w:rsidR="00B313CB">
        <w:t xml:space="preserve"> вмешательства по поводу </w:t>
      </w:r>
      <w:r w:rsidR="00B313CB" w:rsidRPr="00D92F42">
        <w:t>катаракты</w:t>
      </w:r>
      <w:r>
        <w:t xml:space="preserve"> и глаукомы</w:t>
      </w:r>
      <w:r w:rsidR="00B313CB" w:rsidRPr="00D92F42">
        <w:t xml:space="preserve"> </w:t>
      </w:r>
      <w:r>
        <w:t>отмечалось</w:t>
      </w:r>
      <w:r w:rsidR="00B313CB" w:rsidRPr="00D92F42">
        <w:t xml:space="preserve"> развитие синдрома </w:t>
      </w:r>
      <w:proofErr w:type="spellStart"/>
      <w:r w:rsidR="00B313CB" w:rsidRPr="00D92F42">
        <w:t>интраоперационной</w:t>
      </w:r>
      <w:proofErr w:type="spellEnd"/>
      <w:r w:rsidR="00B313CB" w:rsidRPr="00D92F42">
        <w:t xml:space="preserve"> нестабильности радужной оболочки глаза (синдром узкого зрачка),</w:t>
      </w:r>
      <w:r>
        <w:t xml:space="preserve"> который может привести к осложнениям во время операции или в послеоперационн</w:t>
      </w:r>
      <w:r w:rsidR="00C93DD3">
        <w:t>ом</w:t>
      </w:r>
      <w:r>
        <w:t xml:space="preserve"> период</w:t>
      </w:r>
      <w:r w:rsidR="00C93DD3">
        <w:t>е</w:t>
      </w:r>
      <w:r>
        <w:t>.</w:t>
      </w:r>
    </w:p>
    <w:p w:rsidR="001C0FFA" w:rsidRDefault="001C0FFA" w:rsidP="00B313CB">
      <w:pPr>
        <w:jc w:val="both"/>
      </w:pPr>
      <w:r>
        <w:t xml:space="preserve">Целесообразность отмены терапии </w:t>
      </w:r>
      <w:proofErr w:type="spellStart"/>
      <w:r>
        <w:t>тамсулозином</w:t>
      </w:r>
      <w:proofErr w:type="spellEnd"/>
      <w:r>
        <w:t xml:space="preserve"> за 1-2 недели до операции по поводу катаракты или глаукомы до сих пор не показана. Случаи </w:t>
      </w:r>
      <w:r w:rsidRPr="001C0FFA">
        <w:t>интраоперационной нестабильности радужной оболочки глаза</w:t>
      </w:r>
      <w:r>
        <w:t xml:space="preserve"> имели место у пациентов, прекративших прием препарата и в более ранние сроки перед операцией. Не рекомендуется начинать терапию </w:t>
      </w:r>
      <w:proofErr w:type="spellStart"/>
      <w:r>
        <w:t>тамсулозином</w:t>
      </w:r>
      <w:proofErr w:type="spellEnd"/>
      <w:r>
        <w:t xml:space="preserve"> у пациентов, которым запланирована операция по поводу катаракты или глаукомы. Во время предоперационного обследования пациентов хирург и </w:t>
      </w:r>
      <w:r w:rsidR="00AD4F6E">
        <w:br/>
      </w:r>
      <w:r>
        <w:t xml:space="preserve">врач-офтальмолог должны учитывать, принимает или принимал ли данный пациент </w:t>
      </w:r>
      <w:proofErr w:type="spellStart"/>
      <w:r>
        <w:t>тамсулозин</w:t>
      </w:r>
      <w:proofErr w:type="spellEnd"/>
      <w:r>
        <w:t xml:space="preserve">. Это необходимо для подготовки к возможности развития во время операции синдрома </w:t>
      </w:r>
      <w:r w:rsidRPr="001C0FFA">
        <w:t>интраоперационной нестабильности радужной оболочки глаза</w:t>
      </w:r>
      <w:r>
        <w:t>.</w:t>
      </w:r>
    </w:p>
    <w:p w:rsidR="00B313CB" w:rsidRDefault="00B313CB" w:rsidP="00B313CB">
      <w:pPr>
        <w:jc w:val="both"/>
      </w:pPr>
      <w:r>
        <w:t>Прежде чем начать терапию</w:t>
      </w:r>
      <w:r w:rsidRPr="00D92F42">
        <w:t xml:space="preserve"> </w:t>
      </w:r>
      <w:proofErr w:type="spellStart"/>
      <w:r w:rsidRPr="00D92F42">
        <w:t>тамсулозином</w:t>
      </w:r>
      <w:proofErr w:type="spellEnd"/>
      <w:r>
        <w:t>, пациент должен быть обследован с тем, чтобы</w:t>
      </w:r>
      <w:r w:rsidRPr="00D92F42">
        <w:t xml:space="preserve"> исключить наличие других заболеваний, которые могут вызвать такие же симптомы, как доброкачественная гиперплазия </w:t>
      </w:r>
      <w:r>
        <w:t>предстательной железы</w:t>
      </w:r>
      <w:r w:rsidRPr="00D92F42">
        <w:t>.</w:t>
      </w:r>
      <w:r>
        <w:t xml:space="preserve"> </w:t>
      </w:r>
      <w:r w:rsidRPr="00D92F42">
        <w:t>Перед началом лечения и регулярно во время терапии должно выполняться пальцевое ректальное обследование и, при необходимости, определение простатического специфического антигена (ПСА).</w:t>
      </w:r>
    </w:p>
    <w:p w:rsidR="00AF26EE" w:rsidRDefault="00AF26EE" w:rsidP="00B313CB">
      <w:pPr>
        <w:jc w:val="both"/>
      </w:pPr>
      <w:r w:rsidRPr="0032507B">
        <w:rPr>
          <w:color w:val="000000"/>
        </w:rPr>
        <w:t xml:space="preserve">Есть сообщения о случаях развития длительной эрекции и </w:t>
      </w:r>
      <w:proofErr w:type="spellStart"/>
      <w:r w:rsidRPr="0032507B">
        <w:rPr>
          <w:color w:val="000000"/>
        </w:rPr>
        <w:t>приапизма</w:t>
      </w:r>
      <w:proofErr w:type="spellEnd"/>
      <w:r w:rsidRPr="0032507B">
        <w:rPr>
          <w:color w:val="000000"/>
        </w:rPr>
        <w:t xml:space="preserve"> на фоне терапии </w:t>
      </w:r>
      <w:r w:rsidR="00BE5957">
        <w:rPr>
          <w:color w:val="000000"/>
        </w:rPr>
        <w:t>альфа</w:t>
      </w:r>
      <w:r w:rsidRPr="00AB18F0">
        <w:rPr>
          <w:color w:val="000000"/>
        </w:rPr>
        <w:t>1</w:t>
      </w:r>
      <w:r w:rsidRPr="0032507B">
        <w:rPr>
          <w:color w:val="000000"/>
        </w:rPr>
        <w:t xml:space="preserve">-адреноблокаторами. В случае сохранения эрекции в течение более 4 часов следует немедленно обратиться за медицинской помощью. Если терапия </w:t>
      </w:r>
      <w:proofErr w:type="spellStart"/>
      <w:r w:rsidRPr="0032507B">
        <w:rPr>
          <w:color w:val="000000"/>
        </w:rPr>
        <w:t>приапизма</w:t>
      </w:r>
      <w:proofErr w:type="spellEnd"/>
      <w:r w:rsidRPr="0032507B">
        <w:rPr>
          <w:color w:val="000000"/>
        </w:rPr>
        <w:t xml:space="preserve"> не была проведена незамедлительно, это может привести к повреждению тканей полового члена и необратимой утрате потенции</w:t>
      </w:r>
      <w:r>
        <w:rPr>
          <w:color w:val="000000"/>
        </w:rPr>
        <w:t>.</w:t>
      </w:r>
    </w:p>
    <w:p w:rsidR="00B313CB" w:rsidRPr="00D92F42" w:rsidRDefault="00B313CB" w:rsidP="00B313CB">
      <w:pPr>
        <w:jc w:val="both"/>
      </w:pPr>
      <w:r>
        <w:t>При почечной недостаточности не требуется изменения дозы.</w:t>
      </w:r>
    </w:p>
    <w:p w:rsidR="00B313CB" w:rsidRPr="00D92F42" w:rsidRDefault="00B313CB" w:rsidP="00B313CB">
      <w:pPr>
        <w:jc w:val="both"/>
      </w:pPr>
    </w:p>
    <w:p w:rsidR="00B313CB" w:rsidRPr="00D92F42" w:rsidRDefault="00B313CB" w:rsidP="00B313CB">
      <w:pPr>
        <w:jc w:val="both"/>
        <w:rPr>
          <w:b/>
        </w:rPr>
      </w:pPr>
      <w:r w:rsidRPr="00D92F42">
        <w:rPr>
          <w:b/>
          <w:iCs/>
        </w:rPr>
        <w:t>Влияние на способность к управлению транспортными средствами и механизмами</w:t>
      </w:r>
    </w:p>
    <w:p w:rsidR="00B313CB" w:rsidRPr="00CC409D" w:rsidRDefault="00B313CB" w:rsidP="00B313CB">
      <w:pPr>
        <w:jc w:val="both"/>
      </w:pPr>
      <w:r>
        <w:t>Данные об отрицательном влиянии на способность к управлению транспортными средствами и заняти</w:t>
      </w:r>
      <w:r w:rsidR="000639F6">
        <w:t>ю</w:t>
      </w:r>
      <w:r>
        <w:t xml:space="preserve"> потенциально опасными видами деятельности отсутствуют. Тем не менее, в связи с возможностью возникновения головокружения</w:t>
      </w:r>
      <w:r w:rsidR="000639F6">
        <w:t>,</w:t>
      </w:r>
      <w:r>
        <w:t xml:space="preserve"> до выяснения индивидуальной реакции пациента,  следует</w:t>
      </w:r>
      <w:r w:rsidRPr="00D92F42">
        <w:t xml:space="preserve"> </w:t>
      </w:r>
      <w:r>
        <w:t>воздержаться от занятий</w:t>
      </w:r>
      <w:r w:rsidRPr="00D92F42">
        <w:t>, требующи</w:t>
      </w:r>
      <w:r>
        <w:t>х</w:t>
      </w:r>
      <w:r w:rsidRPr="00D92F42">
        <w:t xml:space="preserve"> повышенной концентрации внимания и быстроты психомоторных реакций</w:t>
      </w:r>
      <w:r>
        <w:t xml:space="preserve">, в том числе от </w:t>
      </w:r>
      <w:r w:rsidR="001C0FFA">
        <w:rPr>
          <w:iCs/>
        </w:rPr>
        <w:t>управления</w:t>
      </w:r>
      <w:r w:rsidR="001C0FFA" w:rsidRPr="001C0FFA">
        <w:rPr>
          <w:iCs/>
        </w:rPr>
        <w:t xml:space="preserve"> транспортными средствами и механизмами</w:t>
      </w:r>
      <w:r w:rsidRPr="00CC409D">
        <w:t>.</w:t>
      </w:r>
    </w:p>
    <w:p w:rsidR="00B313CB" w:rsidRPr="00CC409D" w:rsidRDefault="00B313CB" w:rsidP="00B313CB">
      <w:pPr>
        <w:jc w:val="both"/>
      </w:pPr>
      <w:bookmarkStart w:id="5" w:name="11"/>
      <w:bookmarkStart w:id="6" w:name="12"/>
      <w:bookmarkStart w:id="7" w:name="14"/>
      <w:bookmarkEnd w:id="5"/>
      <w:bookmarkEnd w:id="6"/>
      <w:bookmarkEnd w:id="7"/>
    </w:p>
    <w:p w:rsidR="00B313CB" w:rsidRPr="00CC409D" w:rsidRDefault="00B313CB" w:rsidP="00B313CB">
      <w:pPr>
        <w:jc w:val="both"/>
        <w:rPr>
          <w:b/>
        </w:rPr>
      </w:pPr>
      <w:r w:rsidRPr="00CC409D">
        <w:rPr>
          <w:b/>
        </w:rPr>
        <w:t>Форма выпуска</w:t>
      </w:r>
    </w:p>
    <w:p w:rsidR="00B313CB" w:rsidRPr="00CC409D" w:rsidRDefault="00B313CB" w:rsidP="00B313CB">
      <w:pPr>
        <w:jc w:val="both"/>
        <w:rPr>
          <w:bCs/>
        </w:rPr>
      </w:pPr>
      <w:r w:rsidRPr="00CC409D">
        <w:t>Таблетки с пролонгир</w:t>
      </w:r>
      <w:r w:rsidR="00D93900">
        <w:t>ованным</w:t>
      </w:r>
      <w:r w:rsidRPr="00CC409D">
        <w:t xml:space="preserve"> высвобождением, покрытые пленочной оболочкой, 0,4 мг.</w:t>
      </w:r>
    </w:p>
    <w:p w:rsidR="00B313CB" w:rsidRPr="00CC409D" w:rsidRDefault="00B313CB" w:rsidP="00B313CB">
      <w:pPr>
        <w:jc w:val="both"/>
      </w:pPr>
      <w:r w:rsidRPr="00CC409D">
        <w:lastRenderedPageBreak/>
        <w:t>10, 15 или 20 таблеток в контурной ячейковой упаковке из пленки поливинилхлоридной или поливинилхлоридной/</w:t>
      </w:r>
      <w:proofErr w:type="spellStart"/>
      <w:r w:rsidRPr="00CC409D">
        <w:t>поливинилиденхлоридной</w:t>
      </w:r>
      <w:proofErr w:type="spellEnd"/>
      <w:r w:rsidRPr="00CC409D">
        <w:t xml:space="preserve"> и фольги алюминиевой.</w:t>
      </w:r>
    </w:p>
    <w:p w:rsidR="00B313CB" w:rsidRPr="00CC409D" w:rsidRDefault="00B313CB" w:rsidP="00B313CB">
      <w:pPr>
        <w:jc w:val="both"/>
      </w:pPr>
      <w:r w:rsidRPr="00CC409D">
        <w:t>30, 60 или 90 таблеток в банке из полиэтилена высокой плотности</w:t>
      </w:r>
      <w:r w:rsidR="00126977">
        <w:t xml:space="preserve">, укупоренной крышкой </w:t>
      </w:r>
      <w:r w:rsidR="00DC6CE7">
        <w:t xml:space="preserve">натягиваемой с контролем первого вскрытия </w:t>
      </w:r>
      <w:r w:rsidR="00126977">
        <w:t>из полиэтилена высокой плотности</w:t>
      </w:r>
      <w:r w:rsidRPr="00CC409D">
        <w:t>.</w:t>
      </w:r>
    </w:p>
    <w:p w:rsidR="00B313CB" w:rsidRPr="00CC409D" w:rsidRDefault="00B313CB" w:rsidP="00B313CB">
      <w:pPr>
        <w:pStyle w:val="11"/>
        <w:suppressAutoHyphens/>
        <w:jc w:val="both"/>
        <w:rPr>
          <w:color w:val="auto"/>
        </w:rPr>
      </w:pPr>
      <w:r w:rsidRPr="00CC409D">
        <w:rPr>
          <w:color w:val="auto"/>
        </w:rPr>
        <w:t>3, 6 или 9 контурных ячейковых упаковок по 10 таблеток, 2, 4 или 6 контурных ячейковых упаковок по 15 таблеток, 3 контурные ячейковые упаковки по 20 таблеток или одна банка вместе с инструкцией по применению в пачке из картона.</w:t>
      </w:r>
    </w:p>
    <w:p w:rsidR="00B313CB" w:rsidRPr="00CC409D" w:rsidRDefault="00B313CB" w:rsidP="00B313CB">
      <w:pPr>
        <w:jc w:val="both"/>
      </w:pPr>
    </w:p>
    <w:p w:rsidR="00B313CB" w:rsidRPr="00CC409D" w:rsidRDefault="00B313CB" w:rsidP="00B313CB">
      <w:pPr>
        <w:jc w:val="both"/>
        <w:rPr>
          <w:b/>
        </w:rPr>
      </w:pPr>
      <w:r w:rsidRPr="00CC409D">
        <w:rPr>
          <w:b/>
        </w:rPr>
        <w:t>Условия хранения</w:t>
      </w:r>
    </w:p>
    <w:p w:rsidR="00B313CB" w:rsidRPr="00CC409D" w:rsidRDefault="00B313CB" w:rsidP="00B313CB">
      <w:pPr>
        <w:jc w:val="both"/>
      </w:pPr>
      <w:r w:rsidRPr="00CC409D">
        <w:t>Хранить в защищенном от света месте при температуре не выше 25 </w:t>
      </w:r>
      <w:r w:rsidRPr="00CC409D">
        <w:sym w:font="Symbol" w:char="F0B0"/>
      </w:r>
      <w:r w:rsidRPr="00CC409D">
        <w:t>С.</w:t>
      </w:r>
    </w:p>
    <w:p w:rsidR="00B313CB" w:rsidRPr="00BA79D6" w:rsidRDefault="00B313CB" w:rsidP="00B313CB">
      <w:pPr>
        <w:pStyle w:val="11"/>
        <w:rPr>
          <w:color w:val="auto"/>
        </w:rPr>
      </w:pPr>
      <w:r w:rsidRPr="00CC409D">
        <w:rPr>
          <w:color w:val="auto"/>
        </w:rPr>
        <w:t>Хранить в недоступном для детей месте.</w:t>
      </w:r>
    </w:p>
    <w:p w:rsidR="00B313CB" w:rsidRPr="00BA79D6" w:rsidRDefault="00B313CB" w:rsidP="00B313CB">
      <w:pPr>
        <w:jc w:val="both"/>
      </w:pPr>
    </w:p>
    <w:p w:rsidR="00B313CB" w:rsidRPr="00BA79D6" w:rsidRDefault="00B313CB" w:rsidP="00B313CB">
      <w:pPr>
        <w:jc w:val="both"/>
        <w:rPr>
          <w:b/>
        </w:rPr>
      </w:pPr>
      <w:r w:rsidRPr="00BA79D6">
        <w:rPr>
          <w:b/>
        </w:rPr>
        <w:t>Срок годности</w:t>
      </w:r>
    </w:p>
    <w:p w:rsidR="00B313CB" w:rsidRPr="00BA79D6" w:rsidRDefault="00B313CB" w:rsidP="00B313CB">
      <w:pPr>
        <w:pStyle w:val="a7"/>
        <w:spacing w:after="0"/>
        <w:ind w:left="0"/>
        <w:jc w:val="both"/>
      </w:pPr>
      <w:r w:rsidRPr="00BA79D6">
        <w:t>2 года.</w:t>
      </w:r>
    </w:p>
    <w:p w:rsidR="00B313CB" w:rsidRPr="00BA79D6" w:rsidRDefault="00B313CB" w:rsidP="00B313CB">
      <w:pPr>
        <w:pStyle w:val="a7"/>
        <w:spacing w:after="0"/>
        <w:ind w:left="0"/>
        <w:jc w:val="both"/>
      </w:pPr>
      <w:r w:rsidRPr="00BA79D6">
        <w:t xml:space="preserve">Не </w:t>
      </w:r>
      <w:r w:rsidR="00D8767E">
        <w:t xml:space="preserve">применять </w:t>
      </w:r>
      <w:r w:rsidRPr="00BA79D6">
        <w:t>по истечении срока годности.</w:t>
      </w:r>
    </w:p>
    <w:p w:rsidR="00B313CB" w:rsidRPr="00BA79D6" w:rsidRDefault="00B313CB" w:rsidP="00B313CB">
      <w:pPr>
        <w:jc w:val="both"/>
      </w:pPr>
    </w:p>
    <w:p w:rsidR="00B313CB" w:rsidRPr="00BA79D6" w:rsidRDefault="00B313CB" w:rsidP="00B313CB">
      <w:pPr>
        <w:jc w:val="both"/>
        <w:rPr>
          <w:b/>
        </w:rPr>
      </w:pPr>
      <w:r w:rsidRPr="00BA79D6">
        <w:rPr>
          <w:b/>
        </w:rPr>
        <w:t>Условия отпуска</w:t>
      </w:r>
    </w:p>
    <w:p w:rsidR="00B313CB" w:rsidRPr="00D92F42" w:rsidRDefault="00B313CB" w:rsidP="00B313CB">
      <w:pPr>
        <w:jc w:val="both"/>
      </w:pPr>
      <w:r w:rsidRPr="00BA79D6">
        <w:t>Отпускают по рецепту.</w:t>
      </w:r>
    </w:p>
    <w:p w:rsidR="00B313CB" w:rsidRPr="00D92F42" w:rsidRDefault="00B313CB" w:rsidP="00B313CB">
      <w:pPr>
        <w:jc w:val="both"/>
      </w:pPr>
    </w:p>
    <w:p w:rsidR="0021285E" w:rsidRPr="0021285E" w:rsidRDefault="0021285E" w:rsidP="0021285E">
      <w:pPr>
        <w:jc w:val="both"/>
        <w:rPr>
          <w:b/>
          <w:bCs/>
        </w:rPr>
      </w:pPr>
      <w:r w:rsidRPr="0021285E">
        <w:rPr>
          <w:b/>
          <w:bCs/>
        </w:rPr>
        <w:t>Юридическое лицо, на имя которого выдано регистрационное удостоверение</w:t>
      </w:r>
    </w:p>
    <w:p w:rsidR="0021285E" w:rsidRPr="0032190F" w:rsidRDefault="0021285E" w:rsidP="0021285E">
      <w:pPr>
        <w:jc w:val="both"/>
      </w:pPr>
      <w:r w:rsidRPr="0032190F">
        <w:t>АО «ВЕРТЕКС», Россия</w:t>
      </w:r>
    </w:p>
    <w:p w:rsidR="0021285E" w:rsidRPr="0032190F" w:rsidRDefault="0021285E" w:rsidP="0021285E">
      <w:pPr>
        <w:jc w:val="both"/>
      </w:pPr>
      <w:r w:rsidRPr="0032190F">
        <w:t>Юридический адрес: 197350, г. Санкт-Петербург, Дорога в Каменку, д. 62, лит. А.</w:t>
      </w:r>
    </w:p>
    <w:p w:rsidR="0021285E" w:rsidRPr="0021285E" w:rsidRDefault="0021285E" w:rsidP="0021285E">
      <w:pPr>
        <w:jc w:val="both"/>
        <w:rPr>
          <w:b/>
        </w:rPr>
      </w:pPr>
    </w:p>
    <w:p w:rsidR="0021285E" w:rsidRPr="0021285E" w:rsidRDefault="0021285E" w:rsidP="0021285E">
      <w:pPr>
        <w:jc w:val="both"/>
        <w:rPr>
          <w:b/>
          <w:bCs/>
        </w:rPr>
      </w:pPr>
      <w:r w:rsidRPr="0021285E">
        <w:rPr>
          <w:b/>
          <w:bCs/>
        </w:rPr>
        <w:t>Производитель</w:t>
      </w:r>
    </w:p>
    <w:p w:rsidR="0021285E" w:rsidRPr="0032190F" w:rsidRDefault="0021285E" w:rsidP="0021285E">
      <w:pPr>
        <w:jc w:val="both"/>
      </w:pPr>
      <w:r w:rsidRPr="0032190F">
        <w:t>АО «ВЕРТЕКС», Россия</w:t>
      </w:r>
    </w:p>
    <w:p w:rsidR="0021285E" w:rsidRPr="0032190F" w:rsidRDefault="0021285E" w:rsidP="0021285E">
      <w:pPr>
        <w:jc w:val="both"/>
      </w:pPr>
      <w:r w:rsidRPr="0032190F">
        <w:t>Адрес производства: г. Санкт-Петербург, Дорога в Каменку, д. 62, лит. А.</w:t>
      </w:r>
    </w:p>
    <w:p w:rsidR="0021285E" w:rsidRPr="0032190F" w:rsidRDefault="0021285E" w:rsidP="0021285E">
      <w:pPr>
        <w:jc w:val="both"/>
      </w:pPr>
      <w:r w:rsidRPr="0032190F">
        <w:t>Организация, принимающая претензии потребителей:</w:t>
      </w:r>
    </w:p>
    <w:p w:rsidR="0021285E" w:rsidRPr="0032190F" w:rsidRDefault="0021285E" w:rsidP="0021285E">
      <w:pPr>
        <w:jc w:val="both"/>
      </w:pPr>
      <w:r w:rsidRPr="0032190F">
        <w:t>АО «ВЕРТЕКС», Россия</w:t>
      </w:r>
    </w:p>
    <w:p w:rsidR="0021285E" w:rsidRPr="0032190F" w:rsidRDefault="0021285E" w:rsidP="0021285E">
      <w:pPr>
        <w:jc w:val="both"/>
      </w:pPr>
      <w:r w:rsidRPr="0032190F">
        <w:t>199106, г. Санкт-Петербург, Васильевский остров, 24-линия, д. 27, лит. А.</w:t>
      </w:r>
    </w:p>
    <w:p w:rsidR="0021285E" w:rsidRPr="00A15F63" w:rsidRDefault="0021285E" w:rsidP="0021285E">
      <w:pPr>
        <w:jc w:val="both"/>
        <w:rPr>
          <w:lang w:val="en-US"/>
        </w:rPr>
      </w:pPr>
      <w:r w:rsidRPr="0032190F">
        <w:t>Тел./факс:</w:t>
      </w:r>
      <w:r w:rsidR="00A15F63">
        <w:rPr>
          <w:lang w:val="en-US"/>
        </w:rPr>
        <w:t xml:space="preserve"> (812) 322-76-38</w:t>
      </w:r>
      <w:bookmarkStart w:id="8" w:name="_GoBack"/>
      <w:bookmarkEnd w:id="8"/>
    </w:p>
    <w:p w:rsidR="00B313CB" w:rsidRPr="00822425" w:rsidRDefault="00B313CB" w:rsidP="00B313CB">
      <w:pPr>
        <w:widowControl w:val="0"/>
        <w:jc w:val="both"/>
      </w:pPr>
    </w:p>
    <w:sectPr w:rsidR="00B313CB" w:rsidRPr="00822425" w:rsidSect="00D44EF3">
      <w:footerReference w:type="even" r:id="rId9"/>
      <w:footerReference w:type="default" r:id="rId10"/>
      <w:pgSz w:w="11906" w:h="16838"/>
      <w:pgMar w:top="1134" w:right="849"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AEC" w:rsidRDefault="00024AEC">
      <w:r>
        <w:separator/>
      </w:r>
    </w:p>
  </w:endnote>
  <w:endnote w:type="continuationSeparator" w:id="0">
    <w:p w:rsidR="00024AEC" w:rsidRDefault="0002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86" w:rsidRDefault="00F56B1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85164">
      <w:rPr>
        <w:rStyle w:val="a6"/>
        <w:noProof/>
      </w:rPr>
      <w:t>6</w:t>
    </w:r>
    <w:r>
      <w:rPr>
        <w:rStyle w:val="a6"/>
      </w:rPr>
      <w:fldChar w:fldCharType="end"/>
    </w:r>
  </w:p>
  <w:p w:rsidR="00AD0C86" w:rsidRDefault="00A15F6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86" w:rsidRDefault="00F56B1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15F63">
      <w:rPr>
        <w:rStyle w:val="a6"/>
        <w:noProof/>
      </w:rPr>
      <w:t>6</w:t>
    </w:r>
    <w:r>
      <w:rPr>
        <w:rStyle w:val="a6"/>
      </w:rPr>
      <w:fldChar w:fldCharType="end"/>
    </w:r>
  </w:p>
  <w:p w:rsidR="00AD0C86" w:rsidRDefault="00A15F6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AEC" w:rsidRDefault="00024AEC">
      <w:r>
        <w:separator/>
      </w:r>
    </w:p>
  </w:footnote>
  <w:footnote w:type="continuationSeparator" w:id="0">
    <w:p w:rsidR="00024AEC" w:rsidRDefault="00024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3B2"/>
    <w:multiLevelType w:val="hybridMultilevel"/>
    <w:tmpl w:val="3FA2AABC"/>
    <w:lvl w:ilvl="0" w:tplc="ED42990A">
      <w:start w:val="1"/>
      <w:numFmt w:val="bullet"/>
      <w:lvlText w:val=""/>
      <w:lvlJc w:val="left"/>
      <w:pPr>
        <w:tabs>
          <w:tab w:val="num" w:pos="-90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CB"/>
    <w:rsid w:val="00024AEC"/>
    <w:rsid w:val="000639F6"/>
    <w:rsid w:val="000B65EA"/>
    <w:rsid w:val="0010586E"/>
    <w:rsid w:val="00126977"/>
    <w:rsid w:val="00135491"/>
    <w:rsid w:val="001706A0"/>
    <w:rsid w:val="001715B5"/>
    <w:rsid w:val="00193A94"/>
    <w:rsid w:val="00194101"/>
    <w:rsid w:val="001B3D48"/>
    <w:rsid w:val="001C0FFA"/>
    <w:rsid w:val="001F2374"/>
    <w:rsid w:val="0021285E"/>
    <w:rsid w:val="002663AC"/>
    <w:rsid w:val="00275A4E"/>
    <w:rsid w:val="002D0A20"/>
    <w:rsid w:val="00313D2B"/>
    <w:rsid w:val="0031637B"/>
    <w:rsid w:val="0032190F"/>
    <w:rsid w:val="00372CE1"/>
    <w:rsid w:val="003841CE"/>
    <w:rsid w:val="003E7529"/>
    <w:rsid w:val="004507FD"/>
    <w:rsid w:val="00493E21"/>
    <w:rsid w:val="004E5B5F"/>
    <w:rsid w:val="00511480"/>
    <w:rsid w:val="00536659"/>
    <w:rsid w:val="00585164"/>
    <w:rsid w:val="005C1200"/>
    <w:rsid w:val="00602749"/>
    <w:rsid w:val="006708D8"/>
    <w:rsid w:val="006A3E1F"/>
    <w:rsid w:val="00717591"/>
    <w:rsid w:val="007A0E71"/>
    <w:rsid w:val="007B200D"/>
    <w:rsid w:val="00894696"/>
    <w:rsid w:val="008B10EB"/>
    <w:rsid w:val="008B7954"/>
    <w:rsid w:val="00901190"/>
    <w:rsid w:val="0090124D"/>
    <w:rsid w:val="00946A6E"/>
    <w:rsid w:val="009A1B24"/>
    <w:rsid w:val="009D1EA9"/>
    <w:rsid w:val="009E62EF"/>
    <w:rsid w:val="009F75F1"/>
    <w:rsid w:val="00A1240D"/>
    <w:rsid w:val="00A15F63"/>
    <w:rsid w:val="00A746D6"/>
    <w:rsid w:val="00A838DC"/>
    <w:rsid w:val="00A84B82"/>
    <w:rsid w:val="00AA1CC6"/>
    <w:rsid w:val="00AA2229"/>
    <w:rsid w:val="00AB18F0"/>
    <w:rsid w:val="00AD4F6E"/>
    <w:rsid w:val="00AD59AE"/>
    <w:rsid w:val="00AF26EE"/>
    <w:rsid w:val="00B14467"/>
    <w:rsid w:val="00B313CB"/>
    <w:rsid w:val="00B33EED"/>
    <w:rsid w:val="00B42BCF"/>
    <w:rsid w:val="00BB5BD7"/>
    <w:rsid w:val="00BE5957"/>
    <w:rsid w:val="00C22299"/>
    <w:rsid w:val="00C5116E"/>
    <w:rsid w:val="00C93DD3"/>
    <w:rsid w:val="00C9653B"/>
    <w:rsid w:val="00D477E3"/>
    <w:rsid w:val="00D8767E"/>
    <w:rsid w:val="00D93900"/>
    <w:rsid w:val="00DB63D7"/>
    <w:rsid w:val="00DC5EF6"/>
    <w:rsid w:val="00DC6CE7"/>
    <w:rsid w:val="00EA48D8"/>
    <w:rsid w:val="00EB2EB0"/>
    <w:rsid w:val="00EF12DE"/>
    <w:rsid w:val="00F20287"/>
    <w:rsid w:val="00F56B1C"/>
    <w:rsid w:val="00F60357"/>
    <w:rsid w:val="00F960D4"/>
    <w:rsid w:val="00FB1017"/>
    <w:rsid w:val="00FF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0E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13C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313CB"/>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13CB"/>
    <w:rPr>
      <w:rFonts w:ascii="Arial" w:eastAsia="Times New Roman" w:hAnsi="Arial" w:cs="Arial"/>
      <w:b/>
      <w:bCs/>
      <w:i/>
      <w:iCs/>
      <w:sz w:val="28"/>
      <w:szCs w:val="28"/>
      <w:lang w:eastAsia="ru-RU"/>
    </w:rPr>
  </w:style>
  <w:style w:type="character" w:customStyle="1" w:styleId="30">
    <w:name w:val="Заголовок 3 Знак"/>
    <w:basedOn w:val="a0"/>
    <w:link w:val="3"/>
    <w:rsid w:val="00B313CB"/>
    <w:rPr>
      <w:rFonts w:ascii="Cambria" w:eastAsia="Times New Roman" w:hAnsi="Cambria" w:cs="Cambria"/>
      <w:b/>
      <w:bCs/>
      <w:sz w:val="26"/>
      <w:szCs w:val="26"/>
      <w:lang w:eastAsia="ru-RU"/>
    </w:rPr>
  </w:style>
  <w:style w:type="character" w:styleId="a3">
    <w:name w:val="Strong"/>
    <w:qFormat/>
    <w:rsid w:val="00B313CB"/>
    <w:rPr>
      <w:b/>
      <w:bCs/>
    </w:rPr>
  </w:style>
  <w:style w:type="paragraph" w:styleId="a4">
    <w:name w:val="footer"/>
    <w:basedOn w:val="a"/>
    <w:link w:val="a5"/>
    <w:rsid w:val="00B313CB"/>
    <w:pPr>
      <w:tabs>
        <w:tab w:val="center" w:pos="4153"/>
        <w:tab w:val="right" w:pos="8306"/>
      </w:tabs>
    </w:pPr>
  </w:style>
  <w:style w:type="character" w:customStyle="1" w:styleId="a5">
    <w:name w:val="Нижний колонтитул Знак"/>
    <w:basedOn w:val="a0"/>
    <w:link w:val="a4"/>
    <w:rsid w:val="00B313CB"/>
    <w:rPr>
      <w:rFonts w:ascii="Times New Roman" w:eastAsia="Times New Roman" w:hAnsi="Times New Roman" w:cs="Times New Roman"/>
      <w:sz w:val="24"/>
      <w:szCs w:val="24"/>
      <w:lang w:eastAsia="ru-RU"/>
    </w:rPr>
  </w:style>
  <w:style w:type="character" w:styleId="a6">
    <w:name w:val="page number"/>
    <w:basedOn w:val="a0"/>
    <w:rsid w:val="00B313CB"/>
  </w:style>
  <w:style w:type="paragraph" w:styleId="a7">
    <w:name w:val="Body Text Indent"/>
    <w:basedOn w:val="a"/>
    <w:link w:val="a8"/>
    <w:rsid w:val="00B313CB"/>
    <w:pPr>
      <w:spacing w:after="120"/>
      <w:ind w:left="283"/>
    </w:pPr>
  </w:style>
  <w:style w:type="character" w:customStyle="1" w:styleId="a8">
    <w:name w:val="Основной текст с отступом Знак"/>
    <w:basedOn w:val="a0"/>
    <w:link w:val="a7"/>
    <w:rsid w:val="00B313CB"/>
    <w:rPr>
      <w:rFonts w:ascii="Times New Roman" w:eastAsia="Times New Roman" w:hAnsi="Times New Roman" w:cs="Times New Roman"/>
      <w:sz w:val="24"/>
      <w:szCs w:val="24"/>
      <w:lang w:eastAsia="ru-RU"/>
    </w:rPr>
  </w:style>
  <w:style w:type="paragraph" w:customStyle="1" w:styleId="11">
    <w:name w:val="Стиль1"/>
    <w:basedOn w:val="a"/>
    <w:rsid w:val="00B313CB"/>
    <w:rPr>
      <w:color w:val="000000"/>
    </w:rPr>
  </w:style>
  <w:style w:type="character" w:customStyle="1" w:styleId="FontStyle19">
    <w:name w:val="Font Style19"/>
    <w:rsid w:val="00B313CB"/>
    <w:rPr>
      <w:rFonts w:ascii="Times New Roman" w:hAnsi="Times New Roman" w:cs="Times New Roman"/>
      <w:sz w:val="22"/>
      <w:szCs w:val="22"/>
    </w:rPr>
  </w:style>
  <w:style w:type="paragraph" w:styleId="a9">
    <w:name w:val="Balloon Text"/>
    <w:basedOn w:val="a"/>
    <w:link w:val="aa"/>
    <w:uiPriority w:val="99"/>
    <w:semiHidden/>
    <w:unhideWhenUsed/>
    <w:rsid w:val="00313D2B"/>
    <w:rPr>
      <w:rFonts w:ascii="Tahoma" w:hAnsi="Tahoma" w:cs="Tahoma"/>
      <w:sz w:val="16"/>
      <w:szCs w:val="16"/>
    </w:rPr>
  </w:style>
  <w:style w:type="character" w:customStyle="1" w:styleId="aa">
    <w:name w:val="Текст выноски Знак"/>
    <w:basedOn w:val="a0"/>
    <w:link w:val="a9"/>
    <w:uiPriority w:val="99"/>
    <w:semiHidden/>
    <w:rsid w:val="00313D2B"/>
    <w:rPr>
      <w:rFonts w:ascii="Tahoma" w:eastAsia="Times New Roman" w:hAnsi="Tahoma" w:cs="Tahoma"/>
      <w:sz w:val="16"/>
      <w:szCs w:val="16"/>
      <w:lang w:eastAsia="ru-RU"/>
    </w:rPr>
  </w:style>
  <w:style w:type="table" w:styleId="ab">
    <w:name w:val="Table Grid"/>
    <w:basedOn w:val="a1"/>
    <w:uiPriority w:val="59"/>
    <w:rsid w:val="009E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1240D"/>
    <w:rPr>
      <w:sz w:val="16"/>
      <w:szCs w:val="16"/>
    </w:rPr>
  </w:style>
  <w:style w:type="paragraph" w:styleId="ad">
    <w:name w:val="annotation text"/>
    <w:basedOn w:val="a"/>
    <w:link w:val="ae"/>
    <w:uiPriority w:val="99"/>
    <w:semiHidden/>
    <w:unhideWhenUsed/>
    <w:rsid w:val="00A1240D"/>
    <w:rPr>
      <w:sz w:val="20"/>
      <w:szCs w:val="20"/>
    </w:rPr>
  </w:style>
  <w:style w:type="character" w:customStyle="1" w:styleId="ae">
    <w:name w:val="Текст примечания Знак"/>
    <w:basedOn w:val="a0"/>
    <w:link w:val="ad"/>
    <w:uiPriority w:val="99"/>
    <w:semiHidden/>
    <w:rsid w:val="00A1240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A1240D"/>
    <w:rPr>
      <w:b/>
      <w:bCs/>
    </w:rPr>
  </w:style>
  <w:style w:type="character" w:customStyle="1" w:styleId="af0">
    <w:name w:val="Тема примечания Знак"/>
    <w:basedOn w:val="ae"/>
    <w:link w:val="af"/>
    <w:uiPriority w:val="99"/>
    <w:semiHidden/>
    <w:rsid w:val="00A1240D"/>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7A0E71"/>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0E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313C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313CB"/>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313CB"/>
    <w:rPr>
      <w:rFonts w:ascii="Arial" w:eastAsia="Times New Roman" w:hAnsi="Arial" w:cs="Arial"/>
      <w:b/>
      <w:bCs/>
      <w:i/>
      <w:iCs/>
      <w:sz w:val="28"/>
      <w:szCs w:val="28"/>
      <w:lang w:eastAsia="ru-RU"/>
    </w:rPr>
  </w:style>
  <w:style w:type="character" w:customStyle="1" w:styleId="30">
    <w:name w:val="Заголовок 3 Знак"/>
    <w:basedOn w:val="a0"/>
    <w:link w:val="3"/>
    <w:rsid w:val="00B313CB"/>
    <w:rPr>
      <w:rFonts w:ascii="Cambria" w:eastAsia="Times New Roman" w:hAnsi="Cambria" w:cs="Cambria"/>
      <w:b/>
      <w:bCs/>
      <w:sz w:val="26"/>
      <w:szCs w:val="26"/>
      <w:lang w:eastAsia="ru-RU"/>
    </w:rPr>
  </w:style>
  <w:style w:type="character" w:styleId="a3">
    <w:name w:val="Strong"/>
    <w:qFormat/>
    <w:rsid w:val="00B313CB"/>
    <w:rPr>
      <w:b/>
      <w:bCs/>
    </w:rPr>
  </w:style>
  <w:style w:type="paragraph" w:styleId="a4">
    <w:name w:val="footer"/>
    <w:basedOn w:val="a"/>
    <w:link w:val="a5"/>
    <w:rsid w:val="00B313CB"/>
    <w:pPr>
      <w:tabs>
        <w:tab w:val="center" w:pos="4153"/>
        <w:tab w:val="right" w:pos="8306"/>
      </w:tabs>
    </w:pPr>
  </w:style>
  <w:style w:type="character" w:customStyle="1" w:styleId="a5">
    <w:name w:val="Нижний колонтитул Знак"/>
    <w:basedOn w:val="a0"/>
    <w:link w:val="a4"/>
    <w:rsid w:val="00B313CB"/>
    <w:rPr>
      <w:rFonts w:ascii="Times New Roman" w:eastAsia="Times New Roman" w:hAnsi="Times New Roman" w:cs="Times New Roman"/>
      <w:sz w:val="24"/>
      <w:szCs w:val="24"/>
      <w:lang w:eastAsia="ru-RU"/>
    </w:rPr>
  </w:style>
  <w:style w:type="character" w:styleId="a6">
    <w:name w:val="page number"/>
    <w:basedOn w:val="a0"/>
    <w:rsid w:val="00B313CB"/>
  </w:style>
  <w:style w:type="paragraph" w:styleId="a7">
    <w:name w:val="Body Text Indent"/>
    <w:basedOn w:val="a"/>
    <w:link w:val="a8"/>
    <w:rsid w:val="00B313CB"/>
    <w:pPr>
      <w:spacing w:after="120"/>
      <w:ind w:left="283"/>
    </w:pPr>
  </w:style>
  <w:style w:type="character" w:customStyle="1" w:styleId="a8">
    <w:name w:val="Основной текст с отступом Знак"/>
    <w:basedOn w:val="a0"/>
    <w:link w:val="a7"/>
    <w:rsid w:val="00B313CB"/>
    <w:rPr>
      <w:rFonts w:ascii="Times New Roman" w:eastAsia="Times New Roman" w:hAnsi="Times New Roman" w:cs="Times New Roman"/>
      <w:sz w:val="24"/>
      <w:szCs w:val="24"/>
      <w:lang w:eastAsia="ru-RU"/>
    </w:rPr>
  </w:style>
  <w:style w:type="paragraph" w:customStyle="1" w:styleId="11">
    <w:name w:val="Стиль1"/>
    <w:basedOn w:val="a"/>
    <w:rsid w:val="00B313CB"/>
    <w:rPr>
      <w:color w:val="000000"/>
    </w:rPr>
  </w:style>
  <w:style w:type="character" w:customStyle="1" w:styleId="FontStyle19">
    <w:name w:val="Font Style19"/>
    <w:rsid w:val="00B313CB"/>
    <w:rPr>
      <w:rFonts w:ascii="Times New Roman" w:hAnsi="Times New Roman" w:cs="Times New Roman"/>
      <w:sz w:val="22"/>
      <w:szCs w:val="22"/>
    </w:rPr>
  </w:style>
  <w:style w:type="paragraph" w:styleId="a9">
    <w:name w:val="Balloon Text"/>
    <w:basedOn w:val="a"/>
    <w:link w:val="aa"/>
    <w:uiPriority w:val="99"/>
    <w:semiHidden/>
    <w:unhideWhenUsed/>
    <w:rsid w:val="00313D2B"/>
    <w:rPr>
      <w:rFonts w:ascii="Tahoma" w:hAnsi="Tahoma" w:cs="Tahoma"/>
      <w:sz w:val="16"/>
      <w:szCs w:val="16"/>
    </w:rPr>
  </w:style>
  <w:style w:type="character" w:customStyle="1" w:styleId="aa">
    <w:name w:val="Текст выноски Знак"/>
    <w:basedOn w:val="a0"/>
    <w:link w:val="a9"/>
    <w:uiPriority w:val="99"/>
    <w:semiHidden/>
    <w:rsid w:val="00313D2B"/>
    <w:rPr>
      <w:rFonts w:ascii="Tahoma" w:eastAsia="Times New Roman" w:hAnsi="Tahoma" w:cs="Tahoma"/>
      <w:sz w:val="16"/>
      <w:szCs w:val="16"/>
      <w:lang w:eastAsia="ru-RU"/>
    </w:rPr>
  </w:style>
  <w:style w:type="table" w:styleId="ab">
    <w:name w:val="Table Grid"/>
    <w:basedOn w:val="a1"/>
    <w:uiPriority w:val="59"/>
    <w:rsid w:val="009E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1240D"/>
    <w:rPr>
      <w:sz w:val="16"/>
      <w:szCs w:val="16"/>
    </w:rPr>
  </w:style>
  <w:style w:type="paragraph" w:styleId="ad">
    <w:name w:val="annotation text"/>
    <w:basedOn w:val="a"/>
    <w:link w:val="ae"/>
    <w:uiPriority w:val="99"/>
    <w:semiHidden/>
    <w:unhideWhenUsed/>
    <w:rsid w:val="00A1240D"/>
    <w:rPr>
      <w:sz w:val="20"/>
      <w:szCs w:val="20"/>
    </w:rPr>
  </w:style>
  <w:style w:type="character" w:customStyle="1" w:styleId="ae">
    <w:name w:val="Текст примечания Знак"/>
    <w:basedOn w:val="a0"/>
    <w:link w:val="ad"/>
    <w:uiPriority w:val="99"/>
    <w:semiHidden/>
    <w:rsid w:val="00A1240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A1240D"/>
    <w:rPr>
      <w:b/>
      <w:bCs/>
    </w:rPr>
  </w:style>
  <w:style w:type="character" w:customStyle="1" w:styleId="af0">
    <w:name w:val="Тема примечания Знак"/>
    <w:basedOn w:val="ae"/>
    <w:link w:val="af"/>
    <w:uiPriority w:val="99"/>
    <w:semiHidden/>
    <w:rsid w:val="00A1240D"/>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7A0E71"/>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C434-0247-4DD6-A3FB-F43FD5EA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2072</Words>
  <Characters>11812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Вертекс</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Варфоломеева Надежда Ахмедовна</dc:creator>
  <cp:lastModifiedBy>Дроздова Вероника Борисовна</cp:lastModifiedBy>
  <cp:revision>20</cp:revision>
  <cp:lastPrinted>2018-11-13T07:38:00Z</cp:lastPrinted>
  <dcterms:created xsi:type="dcterms:W3CDTF">2018-11-13T07:10:00Z</dcterms:created>
  <dcterms:modified xsi:type="dcterms:W3CDTF">2020-05-26T13:57:00Z</dcterms:modified>
</cp:coreProperties>
</file>